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E72" w:rsidRPr="001B4CC7" w:rsidRDefault="00E42E72" w:rsidP="00880B4B">
      <w:pPr>
        <w:spacing w:beforeLines="50" w:before="156"/>
        <w:jc w:val="center"/>
        <w:rPr>
          <w:rFonts w:ascii="仿宋" w:eastAsia="仿宋" w:hAnsi="仿宋"/>
          <w:b/>
          <w:bCs/>
          <w:sz w:val="32"/>
          <w:szCs w:val="32"/>
        </w:rPr>
      </w:pPr>
      <w:r w:rsidRPr="001B4CC7">
        <w:rPr>
          <w:rFonts w:ascii="仿宋" w:eastAsia="仿宋" w:hAnsi="仿宋" w:hint="eastAsia"/>
          <w:b/>
          <w:bCs/>
          <w:sz w:val="32"/>
          <w:szCs w:val="32"/>
        </w:rPr>
        <w:t>证券投资基金投资人权益须知</w:t>
      </w:r>
    </w:p>
    <w:p w:rsidR="00E42E72" w:rsidRPr="001B4CC7" w:rsidRDefault="00E42E72" w:rsidP="00C6019D">
      <w:pPr>
        <w:ind w:leftChars="67" w:left="141"/>
        <w:rPr>
          <w:rFonts w:ascii="仿宋" w:eastAsia="仿宋" w:hAnsi="仿宋"/>
          <w:bCs/>
          <w:szCs w:val="21"/>
        </w:rPr>
      </w:pPr>
      <w:r w:rsidRPr="001B4CC7">
        <w:rPr>
          <w:rFonts w:ascii="仿宋" w:eastAsia="仿宋" w:hAnsi="仿宋" w:hint="eastAsia"/>
          <w:bCs/>
          <w:szCs w:val="21"/>
        </w:rPr>
        <w:t>尊敬的基金投资人：</w:t>
      </w:r>
    </w:p>
    <w:p w:rsidR="00E42E72" w:rsidRPr="001B4CC7" w:rsidRDefault="00E42E72" w:rsidP="00FB5754">
      <w:pPr>
        <w:ind w:firstLineChars="200" w:firstLine="420"/>
        <w:rPr>
          <w:rFonts w:ascii="仿宋" w:eastAsia="仿宋" w:hAnsi="仿宋"/>
          <w:b/>
          <w:bCs/>
          <w:szCs w:val="21"/>
        </w:rPr>
      </w:pPr>
      <w:r w:rsidRPr="001B4CC7">
        <w:rPr>
          <w:rFonts w:ascii="仿宋" w:eastAsia="仿宋" w:hAnsi="仿宋" w:hint="eastAsia"/>
          <w:bCs/>
          <w:szCs w:val="21"/>
        </w:rPr>
        <w:t>基金投资在获取收益的同时存在投资风险。为了保护您的合法权益，请在投资基金前认真阅读以下内容：</w:t>
      </w:r>
    </w:p>
    <w:p w:rsidR="00E42E72" w:rsidRPr="001B4CC7" w:rsidRDefault="00E42E72" w:rsidP="00FB5754">
      <w:pPr>
        <w:ind w:firstLineChars="200" w:firstLine="422"/>
        <w:rPr>
          <w:rFonts w:ascii="仿宋" w:eastAsia="仿宋" w:hAnsi="仿宋"/>
          <w:b/>
          <w:bCs/>
          <w:szCs w:val="21"/>
        </w:rPr>
      </w:pPr>
      <w:r w:rsidRPr="001B4CC7">
        <w:rPr>
          <w:rFonts w:ascii="仿宋" w:eastAsia="仿宋" w:hAnsi="仿宋" w:cs="宋体" w:hint="eastAsia"/>
          <w:b/>
          <w:kern w:val="0"/>
          <w:szCs w:val="21"/>
        </w:rPr>
        <w:t>一、基金的基本知识</w:t>
      </w:r>
      <w:r w:rsidRPr="001B4CC7">
        <w:rPr>
          <w:rFonts w:ascii="仿宋" w:eastAsia="仿宋" w:hAnsi="仿宋" w:hint="eastAsia"/>
          <w:b/>
          <w:bCs/>
          <w:szCs w:val="21"/>
        </w:rPr>
        <w:t xml:space="preserve">  </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（一）什么是基金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证券投资基金（简称基金）是指通过发售基金份额，将众多投资者的资金集中起来，形成独立财产，由基金托管人托管，基金管理人管理，以投资组合的方法进行证券投资的一种利益共享、风险共担的集合投资方式。</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（二）基金与股票、债券、储蓄存款等其它金融工具的区别</w:t>
      </w:r>
    </w:p>
    <w:tbl>
      <w:tblPr>
        <w:tblW w:w="0" w:type="auto"/>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276"/>
        <w:gridCol w:w="2989"/>
        <w:gridCol w:w="2114"/>
        <w:gridCol w:w="1954"/>
        <w:gridCol w:w="2099"/>
      </w:tblGrid>
      <w:tr w:rsidR="00E42E72" w:rsidRPr="001B4CC7" w:rsidTr="00FB5754">
        <w:trPr>
          <w:trHeight w:val="477"/>
        </w:trPr>
        <w:tc>
          <w:tcPr>
            <w:tcW w:w="1276"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p>
        </w:tc>
        <w:tc>
          <w:tcPr>
            <w:tcW w:w="2989"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基金</w:t>
            </w:r>
          </w:p>
        </w:tc>
        <w:tc>
          <w:tcPr>
            <w:tcW w:w="2114"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股票</w:t>
            </w:r>
          </w:p>
        </w:tc>
        <w:tc>
          <w:tcPr>
            <w:tcW w:w="1954"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债券</w:t>
            </w:r>
          </w:p>
        </w:tc>
        <w:tc>
          <w:tcPr>
            <w:tcW w:w="2099"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银行储蓄存款</w:t>
            </w:r>
          </w:p>
        </w:tc>
      </w:tr>
      <w:tr w:rsidR="00F31942" w:rsidRPr="001B4CC7" w:rsidTr="00FB5754">
        <w:trPr>
          <w:trHeight w:val="1108"/>
        </w:trPr>
        <w:tc>
          <w:tcPr>
            <w:tcW w:w="1276" w:type="dxa"/>
          </w:tcPr>
          <w:p w:rsidR="00F31942" w:rsidRPr="001B4CC7" w:rsidRDefault="00F31942" w:rsidP="00F31942">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反映的经济关系不同</w:t>
            </w:r>
          </w:p>
        </w:tc>
        <w:tc>
          <w:tcPr>
            <w:tcW w:w="2989" w:type="dxa"/>
          </w:tcPr>
          <w:p w:rsidR="00F31942" w:rsidRPr="001B4CC7" w:rsidRDefault="00F31942" w:rsidP="00F31942">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信托关系，是一种受益凭证，投资者购买基金份额后成为基金受益人，基金管理人只是替投资者管理资金，并不承担投资损失风险</w:t>
            </w:r>
          </w:p>
        </w:tc>
        <w:tc>
          <w:tcPr>
            <w:tcW w:w="2114" w:type="dxa"/>
          </w:tcPr>
          <w:p w:rsidR="00F31942" w:rsidRPr="001B4CC7" w:rsidRDefault="00F31942" w:rsidP="00F31942">
            <w:pPr>
              <w:pStyle w:val="ab"/>
              <w:ind w:firstLineChars="18" w:firstLine="38"/>
              <w:jc w:val="both"/>
              <w:rPr>
                <w:rFonts w:ascii="仿宋" w:eastAsia="仿宋" w:hAnsi="仿宋"/>
                <w:bCs/>
                <w:sz w:val="21"/>
                <w:szCs w:val="21"/>
              </w:rPr>
            </w:pPr>
            <w:r w:rsidRPr="00F31942">
              <w:rPr>
                <w:rFonts w:ascii="仿宋" w:eastAsia="仿宋" w:hAnsi="仿宋" w:hint="eastAsia"/>
                <w:bCs/>
                <w:sz w:val="21"/>
                <w:szCs w:val="21"/>
              </w:rPr>
              <w:t>所有权关系，是一种所有权凭证，投资者购买后成为公司股东</w:t>
            </w:r>
          </w:p>
        </w:tc>
        <w:tc>
          <w:tcPr>
            <w:tcW w:w="1954" w:type="dxa"/>
          </w:tcPr>
          <w:p w:rsidR="00F31942" w:rsidRPr="001B4CC7" w:rsidRDefault="00F31942" w:rsidP="00F31942">
            <w:pPr>
              <w:pStyle w:val="ab"/>
              <w:ind w:firstLineChars="18" w:firstLine="38"/>
              <w:jc w:val="both"/>
              <w:rPr>
                <w:rFonts w:ascii="仿宋" w:eastAsia="仿宋" w:hAnsi="仿宋"/>
                <w:bCs/>
                <w:sz w:val="21"/>
                <w:szCs w:val="21"/>
              </w:rPr>
            </w:pPr>
            <w:r w:rsidRPr="00F31942">
              <w:rPr>
                <w:rFonts w:ascii="仿宋" w:eastAsia="仿宋" w:hAnsi="仿宋" w:hint="eastAsia"/>
                <w:bCs/>
                <w:sz w:val="21"/>
                <w:szCs w:val="21"/>
              </w:rPr>
              <w:t>债权债务关系，是一种债权凭证，投资者购买后成为该公司债权人</w:t>
            </w:r>
          </w:p>
        </w:tc>
        <w:tc>
          <w:tcPr>
            <w:tcW w:w="2099" w:type="dxa"/>
          </w:tcPr>
          <w:p w:rsidR="00F31942" w:rsidRPr="001B4CC7" w:rsidRDefault="00F31942" w:rsidP="00F31942">
            <w:pPr>
              <w:pStyle w:val="ab"/>
              <w:ind w:firstLineChars="18" w:firstLine="38"/>
              <w:jc w:val="both"/>
              <w:rPr>
                <w:rFonts w:ascii="仿宋" w:eastAsia="仿宋" w:hAnsi="仿宋"/>
                <w:bCs/>
                <w:sz w:val="21"/>
                <w:szCs w:val="21"/>
              </w:rPr>
            </w:pPr>
            <w:r w:rsidRPr="00F31942">
              <w:rPr>
                <w:rFonts w:ascii="仿宋" w:eastAsia="仿宋" w:hAnsi="仿宋" w:hint="eastAsia"/>
                <w:bCs/>
                <w:sz w:val="21"/>
                <w:szCs w:val="21"/>
              </w:rPr>
              <w:t>表现为银行的负债，是一种信用凭证，银行对存款者负有法定的保本付息责任</w:t>
            </w:r>
          </w:p>
        </w:tc>
      </w:tr>
      <w:tr w:rsidR="00E42E72" w:rsidRPr="001B4CC7" w:rsidTr="00FB5754">
        <w:trPr>
          <w:trHeight w:val="403"/>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所筹资金的投向不同</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间接投资工具，主要投向股票、债券等有价证券</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直接投资工具，主要投向实业领域</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直接投资工具，主要投向实业领域</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间接投资工具，银行负责资金用途和投向</w:t>
            </w:r>
          </w:p>
        </w:tc>
      </w:tr>
      <w:tr w:rsidR="00E42E72" w:rsidRPr="001B4CC7" w:rsidTr="00FB5754">
        <w:trPr>
          <w:trHeight w:val="611"/>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投资收益与风险大小不同</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投资于众多有价证券，能有效分散风险，风险相对适中，收益相对稳健</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价格波动性大，高风险、高收益</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价格波动较股票小，低风险、低收益</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银行存款利率相对固定，损失本金的可能性很小，投资比较安全</w:t>
            </w:r>
          </w:p>
        </w:tc>
      </w:tr>
      <w:tr w:rsidR="00E42E72" w:rsidRPr="001B4CC7" w:rsidTr="00FB5754">
        <w:trPr>
          <w:trHeight w:val="100"/>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收益来源</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利息收入、股利收入、资本利得</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股利收入、资本利得</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利息收入、资本利得</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利息收入</w:t>
            </w:r>
          </w:p>
        </w:tc>
      </w:tr>
      <w:tr w:rsidR="00E42E72" w:rsidRPr="001B4CC7" w:rsidTr="00FB5754">
        <w:trPr>
          <w:trHeight w:val="189"/>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投资渠道</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基金管理公司及银行、证券公司等代销机构</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证券公司</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债券发行机构、证券公司及银行等代销机构</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银行、信用社、邮政储蓄银行</w:t>
            </w:r>
          </w:p>
        </w:tc>
      </w:tr>
    </w:tbl>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（三）基金的分类</w:t>
      </w:r>
    </w:p>
    <w:p w:rsidR="00E42E72" w:rsidRPr="001B4CC7" w:rsidRDefault="00E42E72" w:rsidP="00FB5754">
      <w:pPr>
        <w:ind w:firstLineChars="200" w:firstLine="420"/>
        <w:rPr>
          <w:rFonts w:ascii="仿宋" w:eastAsia="仿宋" w:hAnsi="仿宋" w:cs="宋体"/>
          <w:bCs/>
          <w:kern w:val="0"/>
          <w:szCs w:val="21"/>
        </w:rPr>
      </w:pPr>
      <w:r w:rsidRPr="001B4CC7">
        <w:rPr>
          <w:rFonts w:ascii="仿宋" w:eastAsia="仿宋" w:hAnsi="仿宋" w:cs="宋体" w:hint="eastAsia"/>
          <w:bCs/>
          <w:kern w:val="0"/>
          <w:szCs w:val="21"/>
        </w:rPr>
        <w:t>1、</w:t>
      </w:r>
      <w:r w:rsidR="00F31942" w:rsidRPr="00F31942">
        <w:rPr>
          <w:rFonts w:ascii="仿宋" w:eastAsia="仿宋" w:hAnsi="仿宋" w:cs="宋体" w:hint="eastAsia"/>
          <w:bCs/>
          <w:kern w:val="0"/>
          <w:szCs w:val="21"/>
        </w:rPr>
        <w:t>依据运作方式的不同，可分为封闭式基金与开放式基金以及基金合同约定的其他特殊运作方式的基金。</w:t>
      </w:r>
    </w:p>
    <w:p w:rsidR="00F31942" w:rsidRDefault="00F31942" w:rsidP="00FB5754">
      <w:pPr>
        <w:ind w:firstLineChars="200" w:firstLine="420"/>
        <w:rPr>
          <w:rFonts w:ascii="仿宋" w:eastAsia="仿宋" w:hAnsi="仿宋" w:cs="宋体"/>
          <w:bCs/>
          <w:kern w:val="0"/>
          <w:szCs w:val="21"/>
        </w:rPr>
      </w:pPr>
      <w:r w:rsidRPr="00F31942">
        <w:rPr>
          <w:rFonts w:ascii="仿宋" w:eastAsia="仿宋" w:hAnsi="仿宋" w:cs="宋体" w:hint="eastAsia"/>
          <w:bCs/>
          <w:kern w:val="0"/>
          <w:szCs w:val="21"/>
        </w:rPr>
        <w:t>封闭式基金是指基金份额在基金合同期限内固定不变，基金份额可以在依法设立的证券交易所交易，但基金份额持有人不得申请赎回的一种基金运作方式。</w:t>
      </w:r>
    </w:p>
    <w:p w:rsidR="00F31942" w:rsidRDefault="00F31942" w:rsidP="00FB5754">
      <w:pPr>
        <w:ind w:firstLineChars="200" w:firstLine="420"/>
        <w:rPr>
          <w:rFonts w:ascii="仿宋" w:eastAsia="仿宋" w:hAnsi="仿宋" w:cs="宋体"/>
          <w:bCs/>
          <w:kern w:val="0"/>
          <w:szCs w:val="21"/>
        </w:rPr>
      </w:pPr>
      <w:r w:rsidRPr="00F31942">
        <w:rPr>
          <w:rFonts w:ascii="仿宋" w:eastAsia="仿宋" w:hAnsi="仿宋" w:cs="宋体" w:hint="eastAsia"/>
          <w:bCs/>
          <w:kern w:val="0"/>
          <w:szCs w:val="21"/>
        </w:rPr>
        <w:t>开放式基金是指基金份额不固定，基金份额可以在基金合同约定的时间和场所进行申购和赎回的一种基金运作方式。</w:t>
      </w:r>
    </w:p>
    <w:p w:rsidR="00F31942" w:rsidRDefault="00E42E72" w:rsidP="00FB5754">
      <w:pPr>
        <w:ind w:firstLineChars="200" w:firstLine="420"/>
        <w:rPr>
          <w:rFonts w:ascii="仿宋" w:eastAsia="仿宋" w:hAnsi="仿宋" w:cs="宋体"/>
          <w:bCs/>
          <w:kern w:val="0"/>
          <w:szCs w:val="21"/>
        </w:rPr>
      </w:pPr>
      <w:r w:rsidRPr="001B4CC7">
        <w:rPr>
          <w:rFonts w:ascii="仿宋" w:eastAsia="仿宋" w:hAnsi="仿宋" w:hint="eastAsia"/>
          <w:szCs w:val="21"/>
        </w:rPr>
        <w:t xml:space="preserve"> </w:t>
      </w:r>
      <w:r w:rsidR="00F31942" w:rsidRPr="00F31942">
        <w:rPr>
          <w:rFonts w:ascii="仿宋" w:eastAsia="仿宋" w:hAnsi="仿宋" w:cs="宋体" w:hint="eastAsia"/>
          <w:bCs/>
          <w:kern w:val="0"/>
          <w:szCs w:val="21"/>
        </w:rPr>
        <w:t>2、依据投资对象的不同，可分为股票基金、债券基金、货币市场基金、混合基金、基金中基金。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根据《公开募集证券投资基金运作管理办法》对基金类别的分类标准,80%以上的基金资产投资于股票的为股票基金；80%以上的基金资产投资于债券的为债券基金；仅投资于货币市场工具的为货币市场基金；80%以上的基金资产投资于其他基金份额的，为基金中基金；投资于股票、债券和货币市场工具或其他基金份额，但股票投资和债券投资、基金投资的比例不符合前述规定的为混合基金。</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bCs/>
          <w:kern w:val="0"/>
          <w:szCs w:val="21"/>
        </w:rPr>
        <w:t>3、</w:t>
      </w:r>
      <w:r w:rsidRPr="001B4CC7">
        <w:rPr>
          <w:rFonts w:ascii="仿宋" w:eastAsia="仿宋" w:hAnsi="仿宋" w:cs="宋体" w:hint="eastAsia"/>
          <w:kern w:val="0"/>
          <w:szCs w:val="21"/>
        </w:rPr>
        <w:t>特殊类型基金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（1）系列基金。又被称为伞型基金，是指多个基金共用一个基金合同,子基金独立运作,子基金之间可以进行相互转换的一种基金结构形式。</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（2）避险策略基金。是指通过一定的避险投资策略进行运作，同时引入相关保障机制，以在避险策略周期到</w:t>
      </w:r>
      <w:r w:rsidRPr="00F31942">
        <w:rPr>
          <w:rFonts w:ascii="仿宋" w:eastAsia="仿宋" w:hAnsi="仿宋" w:cs="宋体" w:hint="eastAsia"/>
          <w:kern w:val="0"/>
          <w:szCs w:val="21"/>
        </w:rPr>
        <w:lastRenderedPageBreak/>
        <w:t>期时，力求避免基金份额持有人投资本金出现亏损的公开募集证券投资基金。避险策略基金在极端情况下仍然存在本金损失的风险。（目前基金市场中存在的“保本基金”</w:t>
      </w:r>
      <w:r w:rsidR="00501181">
        <w:rPr>
          <w:rFonts w:ascii="仿宋" w:eastAsia="仿宋" w:hAnsi="仿宋" w:cs="宋体" w:hint="eastAsia"/>
          <w:kern w:val="0"/>
          <w:szCs w:val="21"/>
        </w:rPr>
        <w:t>是</w:t>
      </w:r>
      <w:r w:rsidRPr="00F31942">
        <w:rPr>
          <w:rFonts w:ascii="仿宋" w:eastAsia="仿宋" w:hAnsi="仿宋" w:cs="宋体" w:hint="eastAsia"/>
          <w:kern w:val="0"/>
          <w:szCs w:val="21"/>
        </w:rPr>
        <w:t>“避险策略基金”的前身，是指通过一定的保本投资策略进行运作，同时引入保本保障机制，以保证基金份额持有人在保本周期到期时，可以获得投资本金保证的基金。保本基金并不等于将资金作为存款存放在银行或存款类金融机构，在极端情况下仍存在本金损失的风险。）</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使用组合证券、现金或者基金合同约定的其他对价进行申购、赎回。但是，由于它的申购是用一篮子成分券换取基金份额，赎回也是换回一篮子成分券而非现金。为方便未参与二级市场交易的投资者，就诞生了“ETF联接基金”，这种基金将90%以上的资产投资于目标ETF，采用开放式运作方式并在场外以现金方式申购或赎回。</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（4）上市开放式基金(Listed Open-ended Funds,简称“LOF”)是一种既可以在场外市场进行基金份额申购赎回，又可以在交易所（场内市场）进行基金份额交易、申购或赎回的开放式基金。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（5）QDII基金。QDII是Qualified Domestic Institutional Investors的首字母缩写。它是指在我国境内募集资金，并运用所募集的部分或全部资金以资产组合方式从事境外证券市场的股票、债券等有价证券投资的基金。它为国内投资者参与国际市场投资提供了便利，但投资者也需承担境外市场相应投资风险。</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（四）基金评级</w:t>
      </w:r>
    </w:p>
    <w:p w:rsidR="00F31942" w:rsidRPr="00F31942" w:rsidRDefault="00F31942" w:rsidP="00FB5754">
      <w:pPr>
        <w:ind w:firstLineChars="200" w:firstLine="420"/>
        <w:outlineLvl w:val="0"/>
        <w:rPr>
          <w:rFonts w:ascii="仿宋" w:eastAsia="仿宋" w:hAnsi="仿宋" w:cs="宋体"/>
          <w:kern w:val="0"/>
          <w:szCs w:val="21"/>
        </w:rPr>
      </w:pPr>
      <w:r w:rsidRPr="00F31942">
        <w:rPr>
          <w:rFonts w:ascii="仿宋" w:eastAsia="仿宋" w:hAnsi="仿宋" w:cs="宋体" w:hint="eastAsia"/>
          <w:kern w:val="0"/>
          <w:szCs w:val="21"/>
        </w:rPr>
        <w:t>基金评级是依据一定标准对基金产品进行分析从而做出评价。投资人在投资基金时，可以适当参考基金评级结果，但切不可把基金评级作为选择基金的唯一依据。此外，基金评级是对基金管理人过往的业绩表现做出评价，并不代表基金未来长期业绩的表现。</w:t>
      </w:r>
    </w:p>
    <w:p w:rsidR="00F31942" w:rsidRDefault="00F31942" w:rsidP="00FB5754">
      <w:pPr>
        <w:ind w:firstLineChars="200" w:firstLine="420"/>
        <w:outlineLvl w:val="0"/>
        <w:rPr>
          <w:rFonts w:ascii="仿宋" w:eastAsia="仿宋" w:hAnsi="仿宋" w:cs="宋体"/>
          <w:kern w:val="0"/>
          <w:szCs w:val="21"/>
        </w:rPr>
      </w:pPr>
      <w:r w:rsidRPr="00F31942">
        <w:rPr>
          <w:rFonts w:ascii="仿宋" w:eastAsia="仿宋" w:hAnsi="仿宋" w:cs="宋体" w:hint="eastAsia"/>
          <w:kern w:val="0"/>
          <w:szCs w:val="21"/>
        </w:rPr>
        <w:t>本公司将根据销售适用性原则对旗下基金产品进行风险评价，并在公司网站上公布评价方法和评价结果。</w:t>
      </w:r>
    </w:p>
    <w:p w:rsidR="00E42E72" w:rsidRPr="001B4CC7" w:rsidRDefault="00E42E72" w:rsidP="00FB5754">
      <w:pPr>
        <w:ind w:firstLineChars="200" w:firstLine="422"/>
        <w:outlineLvl w:val="0"/>
        <w:rPr>
          <w:rFonts w:ascii="仿宋" w:eastAsia="仿宋" w:hAnsi="仿宋" w:cs="宋体"/>
          <w:b/>
          <w:kern w:val="0"/>
          <w:szCs w:val="21"/>
        </w:rPr>
      </w:pPr>
      <w:r w:rsidRPr="001B4CC7">
        <w:rPr>
          <w:rFonts w:ascii="仿宋" w:eastAsia="仿宋" w:hAnsi="仿宋" w:cs="宋体" w:hint="eastAsia"/>
          <w:b/>
          <w:kern w:val="0"/>
          <w:szCs w:val="21"/>
        </w:rPr>
        <w:t>（五）基金费用</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基金费用一般包括两大类：一类是在基金销售过程中发生的由基金投资人自己承担的费用，主要包括认购费、申购费、赎回费和基金转换费。这些费用一般直接在投资人认购、申购、赎回或转换时收取。其中认购费和申购费可在投资人购买基金时收取，即前端收费</w:t>
      </w:r>
      <w:r w:rsidR="00AB1FD1" w:rsidRPr="00157E0A">
        <w:rPr>
          <w:rFonts w:ascii="仿宋" w:eastAsia="仿宋" w:hAnsi="仿宋" w:cs="宋体" w:hint="eastAsia"/>
          <w:kern w:val="0"/>
          <w:szCs w:val="21"/>
        </w:rPr>
        <w:t>，其费率可以根据投资人认购金额、申购金额不同而不同</w:t>
      </w:r>
      <w:r w:rsidRPr="00157E0A">
        <w:rPr>
          <w:rFonts w:ascii="仿宋" w:eastAsia="仿宋" w:hAnsi="仿宋" w:cs="宋体" w:hint="eastAsia"/>
          <w:kern w:val="0"/>
          <w:szCs w:val="21"/>
        </w:rPr>
        <w:t>；</w:t>
      </w:r>
      <w:r w:rsidRPr="00F31942">
        <w:rPr>
          <w:rFonts w:ascii="仿宋" w:eastAsia="仿宋" w:hAnsi="仿宋" w:cs="宋体" w:hint="eastAsia"/>
          <w:kern w:val="0"/>
          <w:szCs w:val="21"/>
        </w:rPr>
        <w:t>也可在投资人卖出基金时从赎回金额中收取，即后端收费，其费率一般按持有期限递减。另一类是在基金管理过程中发生的费用，主要包括基金管理费、基金托管费、指数使用费、信息披露费等，这些费用由基金资产承担。此外，基金管理人还可按照相关规定从基金资产中计提一定的销售服务费，专门用于本基金的销售和对基金持有人的服务。</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二、基金份额持有人的权利</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根据《证券投资基金法》第</w:t>
      </w:r>
      <w:r w:rsidR="00BC0D5B">
        <w:rPr>
          <w:rFonts w:ascii="仿宋" w:eastAsia="仿宋" w:hAnsi="仿宋" w:cs="宋体"/>
          <w:kern w:val="0"/>
          <w:szCs w:val="21"/>
        </w:rPr>
        <w:t>46</w:t>
      </w:r>
      <w:r w:rsidRPr="00F31942">
        <w:rPr>
          <w:rFonts w:ascii="仿宋" w:eastAsia="仿宋" w:hAnsi="仿宋" w:cs="宋体" w:hint="eastAsia"/>
          <w:kern w:val="0"/>
          <w:szCs w:val="21"/>
        </w:rPr>
        <w:t>条的规定，基金份额持有人享有下列权利：</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（一）分享基金财产收益；</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（二）参与分配清算后的剩余基金财产；</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（三）依法转让或申请赎回其持有的基金份额；</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（四）按照规定要求召开基金份额持有人大会或者召集基金份额持有人大会；</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（五）对基金份额持有人大会审议事项行使表决权；</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（六）对基金管理人、基金托管人、基金份额发售机构损害其合法权益的行为依法提起诉讼；</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（七）基金合同约定的其它权利。</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公开募集基金的基金份额持有人有权查阅或者复制公开披露的基金信息资料；非公开募集基金的基金份额持有人对涉及自身利益的情况，有权查阅基金的财务会计账簿等财务资料。</w:t>
      </w:r>
    </w:p>
    <w:p w:rsidR="00E42E72" w:rsidRPr="001B4CC7" w:rsidRDefault="00E42E72" w:rsidP="00FB5754">
      <w:pPr>
        <w:ind w:firstLineChars="200" w:firstLine="422"/>
        <w:rPr>
          <w:rFonts w:ascii="仿宋" w:eastAsia="仿宋" w:hAnsi="仿宋" w:cs="宋体"/>
          <w:kern w:val="0"/>
          <w:szCs w:val="21"/>
        </w:rPr>
      </w:pPr>
      <w:r w:rsidRPr="001B4CC7">
        <w:rPr>
          <w:rFonts w:ascii="仿宋" w:eastAsia="仿宋" w:hAnsi="仿宋" w:cs="宋体" w:hint="eastAsia"/>
          <w:b/>
          <w:kern w:val="0"/>
          <w:szCs w:val="21"/>
        </w:rPr>
        <w:t>三、基金投资风险提示</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证券投资基金是一种理财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二）基金在投资运作过程中可能面临各种风险，既包括市场风险，也包括基金自身的管理风险、技术风险和合规风险等。巨额赎回风险是开放式基金所特有的一种风险，即当单个交易日基金的净赎回申请超过基金总份额的</w:t>
      </w:r>
      <w:r w:rsidRPr="00EF1245">
        <w:rPr>
          <w:rFonts w:ascii="仿宋" w:eastAsia="仿宋" w:hAnsi="仿宋" w:cs="宋体" w:hint="eastAsia"/>
          <w:kern w:val="0"/>
          <w:szCs w:val="21"/>
        </w:rPr>
        <w:lastRenderedPageBreak/>
        <w:t>百分之十时，投资人将可能无法及时赎回持有的全部基金份额。基金合同对巨额赎回的触发情况另有约定的，按约定执行。</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五）本公司将对基金投资人的风险承受能力进行调查和评价，并根据基金投资人的风险承受能力提供相应的基金品种的适当性匹配意见，但我公司的意见仅供投资人参考，投资人应根据自身风险承受能力选择基金产品并自行承担投资基金的风险。</w:t>
      </w:r>
    </w:p>
    <w:p w:rsidR="00E42E72" w:rsidRPr="001B4CC7" w:rsidRDefault="00E42E72" w:rsidP="00FB5754">
      <w:pPr>
        <w:ind w:firstLineChars="200" w:firstLine="422"/>
        <w:rPr>
          <w:rFonts w:ascii="仿宋" w:eastAsia="仿宋" w:hAnsi="仿宋" w:cs="宋体"/>
          <w:b/>
          <w:kern w:val="0"/>
          <w:szCs w:val="21"/>
        </w:rPr>
      </w:pPr>
      <w:r w:rsidRPr="003B6FE7">
        <w:rPr>
          <w:rFonts w:ascii="仿宋" w:eastAsia="仿宋" w:hAnsi="仿宋" w:cs="宋体" w:hint="eastAsia"/>
          <w:b/>
          <w:kern w:val="0"/>
          <w:szCs w:val="21"/>
        </w:rPr>
        <w:t>四、服务内容和收费方式</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我公司向基金投资人提供以下服务：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（一）对基金投资人的风险承受能力进行调查和评价。</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（二）基金销售业务，包括基金账户开户、基金申（认）购、基金赎回、基金转换、定额定投、修改基金分红方式等。我公司根据每只基金的</w:t>
      </w:r>
      <w:r w:rsidR="00157E0A">
        <w:rPr>
          <w:rFonts w:ascii="仿宋" w:eastAsia="仿宋" w:hAnsi="仿宋" w:cs="宋体" w:hint="eastAsia"/>
          <w:kern w:val="0"/>
          <w:szCs w:val="21"/>
        </w:rPr>
        <w:t>合同、</w:t>
      </w:r>
      <w:r w:rsidRPr="00EF1245">
        <w:rPr>
          <w:rFonts w:ascii="仿宋" w:eastAsia="仿宋" w:hAnsi="仿宋" w:cs="宋体" w:hint="eastAsia"/>
          <w:kern w:val="0"/>
          <w:szCs w:val="21"/>
        </w:rPr>
        <w:t>发售公告、最新的招募说明书及其它相关最新公告收取相应的申（认）购、赎回费和转换费等相关费用。</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基金投资人可以登录我公司网站，通过基金产品页面的“公告资讯”栏目查询最新公告。</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w:t>
      </w:r>
      <w:r w:rsidR="00000F8C">
        <w:rPr>
          <w:rFonts w:ascii="仿宋" w:eastAsia="仿宋" w:hAnsi="仿宋" w:cs="宋体" w:hint="eastAsia"/>
          <w:kern w:val="0"/>
          <w:szCs w:val="21"/>
        </w:rPr>
        <w:t>三</w:t>
      </w:r>
      <w:r w:rsidRPr="00EF1245">
        <w:rPr>
          <w:rFonts w:ascii="仿宋" w:eastAsia="仿宋" w:hAnsi="仿宋" w:cs="宋体" w:hint="eastAsia"/>
          <w:kern w:val="0"/>
          <w:szCs w:val="21"/>
        </w:rPr>
        <w:t>）</w:t>
      </w:r>
      <w:r w:rsidR="00000F8C">
        <w:rPr>
          <w:rFonts w:ascii="仿宋" w:eastAsia="仿宋" w:hAnsi="仿宋" w:cs="宋体" w:hint="eastAsia"/>
          <w:kern w:val="0"/>
          <w:szCs w:val="21"/>
        </w:rPr>
        <w:t>信息披露服务</w:t>
      </w:r>
      <w:r w:rsidRPr="00EF1245">
        <w:rPr>
          <w:rFonts w:ascii="仿宋" w:eastAsia="仿宋" w:hAnsi="仿宋" w:cs="宋体" w:hint="eastAsia"/>
          <w:kern w:val="0"/>
          <w:szCs w:val="21"/>
        </w:rPr>
        <w:t>。</w:t>
      </w:r>
    </w:p>
    <w:p w:rsidR="003B6FE7" w:rsidRDefault="00EF1245" w:rsidP="003B6FE7">
      <w:pPr>
        <w:ind w:firstLineChars="200" w:firstLine="420"/>
        <w:rPr>
          <w:rFonts w:ascii="仿宋" w:eastAsia="仿宋" w:hAnsi="仿宋" w:cs="宋体"/>
          <w:kern w:val="0"/>
          <w:szCs w:val="21"/>
        </w:rPr>
      </w:pPr>
      <w:r w:rsidRPr="00EF1245">
        <w:rPr>
          <w:rFonts w:ascii="仿宋" w:eastAsia="仿宋" w:hAnsi="仿宋" w:cs="宋体" w:hint="eastAsia"/>
          <w:kern w:val="0"/>
          <w:szCs w:val="21"/>
        </w:rPr>
        <w:t>（</w:t>
      </w:r>
      <w:r w:rsidR="00157E0A">
        <w:rPr>
          <w:rFonts w:ascii="仿宋" w:eastAsia="仿宋" w:hAnsi="仿宋" w:cs="宋体" w:hint="eastAsia"/>
          <w:kern w:val="0"/>
          <w:szCs w:val="21"/>
        </w:rPr>
        <w:t>四</w:t>
      </w:r>
      <w:r w:rsidRPr="00EF1245">
        <w:rPr>
          <w:rFonts w:ascii="仿宋" w:eastAsia="仿宋" w:hAnsi="仿宋" w:cs="宋体" w:hint="eastAsia"/>
          <w:kern w:val="0"/>
          <w:szCs w:val="21"/>
        </w:rPr>
        <w:t>）咨询</w:t>
      </w:r>
      <w:r w:rsidR="003B6FE7">
        <w:rPr>
          <w:rFonts w:ascii="仿宋" w:eastAsia="仿宋" w:hAnsi="仿宋" w:cs="宋体" w:hint="eastAsia"/>
          <w:kern w:val="0"/>
          <w:szCs w:val="21"/>
        </w:rPr>
        <w:t>服务</w:t>
      </w:r>
      <w:r w:rsidRPr="00EF1245">
        <w:rPr>
          <w:rFonts w:ascii="仿宋" w:eastAsia="仿宋" w:hAnsi="仿宋" w:cs="宋体" w:hint="eastAsia"/>
          <w:kern w:val="0"/>
          <w:szCs w:val="21"/>
        </w:rPr>
        <w:t>。</w:t>
      </w:r>
    </w:p>
    <w:p w:rsidR="003B6FE7" w:rsidRP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1. 客户服务中心电话</w:t>
      </w:r>
    </w:p>
    <w:p w:rsidR="003B6FE7" w:rsidRP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投资人如果想了解</w:t>
      </w:r>
      <w:r w:rsidR="00000F8C">
        <w:rPr>
          <w:rFonts w:ascii="仿宋" w:eastAsia="仿宋" w:hAnsi="仿宋" w:cs="宋体" w:hint="eastAsia"/>
          <w:kern w:val="0"/>
          <w:szCs w:val="21"/>
        </w:rPr>
        <w:t>业务流程和规则、</w:t>
      </w:r>
      <w:r w:rsidRPr="003B6FE7">
        <w:rPr>
          <w:rFonts w:ascii="仿宋" w:eastAsia="仿宋" w:hAnsi="仿宋" w:cs="宋体" w:hint="eastAsia"/>
          <w:kern w:val="0"/>
          <w:szCs w:val="21"/>
        </w:rPr>
        <w:t>申购与赎回的交易情况、基金账户余额、基金产品与服务等信息，可拨打如下电话：</w:t>
      </w:r>
      <w:r>
        <w:rPr>
          <w:rFonts w:ascii="仿宋" w:eastAsia="仿宋" w:hAnsi="仿宋" w:cs="宋体"/>
          <w:kern w:val="0"/>
          <w:szCs w:val="21"/>
        </w:rPr>
        <w:t>400-888-0800</w:t>
      </w:r>
      <w:r w:rsidRPr="003B6FE7">
        <w:rPr>
          <w:rFonts w:ascii="仿宋" w:eastAsia="仿宋" w:hAnsi="仿宋" w:cs="宋体" w:hint="eastAsia"/>
          <w:kern w:val="0"/>
          <w:szCs w:val="21"/>
        </w:rPr>
        <w:t>。</w:t>
      </w:r>
    </w:p>
    <w:p w:rsidR="003B6FE7" w:rsidRP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2. 网址及电子</w:t>
      </w:r>
      <w:r>
        <w:rPr>
          <w:rFonts w:ascii="仿宋" w:eastAsia="仿宋" w:hAnsi="仿宋" w:cs="宋体" w:hint="eastAsia"/>
          <w:kern w:val="0"/>
          <w:szCs w:val="21"/>
        </w:rPr>
        <w:t>邮箱</w:t>
      </w:r>
    </w:p>
    <w:p w:rsid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网址：</w:t>
      </w:r>
      <w:hyperlink r:id="rId8" w:history="1">
        <w:r w:rsidRPr="006B152A">
          <w:rPr>
            <w:rStyle w:val="aa"/>
            <w:rFonts w:ascii="仿宋" w:eastAsia="仿宋" w:hAnsi="仿宋" w:cs="宋体" w:hint="default"/>
            <w:kern w:val="0"/>
            <w:sz w:val="21"/>
            <w:szCs w:val="21"/>
          </w:rPr>
          <w:t>https://www.wjasset.com</w:t>
        </w:r>
      </w:hyperlink>
    </w:p>
    <w:p w:rsidR="00EF1245" w:rsidRPr="00EF1245"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电子</w:t>
      </w:r>
      <w:r>
        <w:rPr>
          <w:rFonts w:ascii="仿宋" w:eastAsia="仿宋" w:hAnsi="仿宋" w:cs="宋体" w:hint="eastAsia"/>
          <w:kern w:val="0"/>
          <w:szCs w:val="21"/>
        </w:rPr>
        <w:t>邮箱</w:t>
      </w:r>
      <w:r w:rsidRPr="003B6FE7">
        <w:rPr>
          <w:rFonts w:ascii="仿宋" w:eastAsia="仿宋" w:hAnsi="仿宋" w:cs="宋体" w:hint="eastAsia"/>
          <w:kern w:val="0"/>
          <w:szCs w:val="21"/>
        </w:rPr>
        <w:t>：</w:t>
      </w:r>
      <w:r w:rsidRPr="003B6FE7">
        <w:rPr>
          <w:rFonts w:ascii="仿宋" w:eastAsia="仿宋" w:hAnsi="仿宋" w:cs="宋体"/>
          <w:kern w:val="0"/>
          <w:szCs w:val="21"/>
        </w:rPr>
        <w:t>Callcenter@wjasset.com</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w:t>
      </w:r>
      <w:r w:rsidR="00077FFC">
        <w:rPr>
          <w:rFonts w:ascii="仿宋" w:eastAsia="仿宋" w:hAnsi="仿宋" w:cs="宋体" w:hint="eastAsia"/>
          <w:kern w:val="0"/>
          <w:szCs w:val="21"/>
        </w:rPr>
        <w:t>五</w:t>
      </w:r>
      <w:bookmarkStart w:id="0" w:name="_GoBack"/>
      <w:bookmarkEnd w:id="0"/>
      <w:r w:rsidRPr="00EF1245">
        <w:rPr>
          <w:rFonts w:ascii="仿宋" w:eastAsia="仿宋" w:hAnsi="仿宋" w:cs="宋体" w:hint="eastAsia"/>
          <w:kern w:val="0"/>
          <w:szCs w:val="21"/>
        </w:rPr>
        <w:t>）基金知识普及和风险教育。</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五、基金业务流程</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投资者可通过我司办理以下基金业务：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(一）账户类业务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1、基金账户开户</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2、增开交易账号</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3、基金账号的登记</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4、资料变更</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5、销户</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（二）交易类业务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1、认购</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2、申购</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3、赎回</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4、基金转换</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5、非交易过户</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6、基金转托管</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（三）特殊交易</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1、冻结、解冻</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lastRenderedPageBreak/>
        <w:t>2、撤单</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3、</w:t>
      </w:r>
      <w:r w:rsidR="00B840A3">
        <w:rPr>
          <w:rFonts w:ascii="仿宋" w:eastAsia="仿宋" w:hAnsi="仿宋" w:cs="宋体" w:hint="eastAsia"/>
          <w:kern w:val="0"/>
          <w:szCs w:val="21"/>
        </w:rPr>
        <w:t>修改</w:t>
      </w:r>
      <w:r w:rsidRPr="001B4CC7">
        <w:rPr>
          <w:rFonts w:ascii="仿宋" w:eastAsia="仿宋" w:hAnsi="仿宋" w:cs="宋体" w:hint="eastAsia"/>
          <w:kern w:val="0"/>
          <w:szCs w:val="21"/>
        </w:rPr>
        <w:t>分红</w:t>
      </w:r>
      <w:r w:rsidR="00B840A3">
        <w:rPr>
          <w:rFonts w:ascii="仿宋" w:eastAsia="仿宋" w:hAnsi="仿宋" w:cs="宋体" w:hint="eastAsia"/>
          <w:kern w:val="0"/>
          <w:szCs w:val="21"/>
        </w:rPr>
        <w:t>方式</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（四）资金结算</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1、认购</w:t>
      </w:r>
      <w:r w:rsidR="008236D7">
        <w:rPr>
          <w:rFonts w:ascii="仿宋" w:eastAsia="仿宋" w:hAnsi="仿宋" w:cs="宋体" w:hint="eastAsia"/>
          <w:kern w:val="0"/>
          <w:szCs w:val="21"/>
        </w:rPr>
        <w:t>款</w:t>
      </w:r>
      <w:r w:rsidRPr="001B4CC7">
        <w:rPr>
          <w:rFonts w:ascii="仿宋" w:eastAsia="仿宋" w:hAnsi="仿宋" w:cs="宋体" w:hint="eastAsia"/>
          <w:kern w:val="0"/>
          <w:szCs w:val="21"/>
        </w:rPr>
        <w:t>、申购</w:t>
      </w:r>
      <w:r w:rsidR="008236D7">
        <w:rPr>
          <w:rFonts w:ascii="仿宋" w:eastAsia="仿宋" w:hAnsi="仿宋" w:cs="宋体" w:hint="eastAsia"/>
          <w:kern w:val="0"/>
          <w:szCs w:val="21"/>
        </w:rPr>
        <w:t>款</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2、赎回</w:t>
      </w:r>
      <w:r w:rsidR="008236D7">
        <w:rPr>
          <w:rFonts w:ascii="仿宋" w:eastAsia="仿宋" w:hAnsi="仿宋" w:cs="宋体" w:hint="eastAsia"/>
          <w:kern w:val="0"/>
          <w:szCs w:val="21"/>
        </w:rPr>
        <w:t>款</w:t>
      </w:r>
    </w:p>
    <w:p w:rsidR="0068095C"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3、红利发放</w:t>
      </w:r>
    </w:p>
    <w:p w:rsidR="00E42E72"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六、投诉处理和联系方式</w:t>
      </w:r>
    </w:p>
    <w:p w:rsidR="00E630A0" w:rsidRPr="00E630A0" w:rsidRDefault="00E630A0" w:rsidP="00FB5754">
      <w:pPr>
        <w:ind w:firstLineChars="200" w:firstLine="420"/>
        <w:rPr>
          <w:rFonts w:ascii="仿宋" w:eastAsia="仿宋" w:hAnsi="仿宋" w:cs="宋体"/>
          <w:kern w:val="0"/>
          <w:szCs w:val="21"/>
        </w:rPr>
      </w:pPr>
      <w:r w:rsidRPr="00E630A0">
        <w:rPr>
          <w:rFonts w:ascii="仿宋" w:eastAsia="仿宋" w:hAnsi="仿宋" w:cs="宋体" w:hint="eastAsia"/>
          <w:kern w:val="0"/>
          <w:szCs w:val="21"/>
        </w:rPr>
        <w:t>投资人在投资过程中如有投诉和建议需反馈，请联系我们或证监会和证券业协会相关部门，如下述联系方式及办公地址与相关机构最新公告的不一致，请以相关公告为准：</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（一）基金投资人可以通过拨打我公司客户服务中心电话或以书信、传真、电子邮件等方式，将您在投资过程中需要反馈的投诉与建议反馈给我们。</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 xml:space="preserve">客户服务电话： </w:t>
      </w:r>
      <w:r w:rsidRPr="00714E7D">
        <w:rPr>
          <w:rFonts w:ascii="仿宋" w:eastAsia="仿宋" w:hAnsi="仿宋" w:hint="eastAsia"/>
          <w:szCs w:val="21"/>
        </w:rPr>
        <w:t>400-888-0800(免长话费)</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客户服务传真：021-38909798</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客服邮箱：</w:t>
      </w:r>
      <w:r w:rsidRPr="00714E7D">
        <w:rPr>
          <w:rFonts w:ascii="仿宋" w:eastAsia="仿宋" w:hAnsi="仿宋" w:cs="宋体"/>
          <w:kern w:val="0"/>
          <w:szCs w:val="21"/>
        </w:rPr>
        <w:t>Callcenter@wjasset.com</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网站：</w:t>
      </w:r>
      <w:r w:rsidRPr="00714E7D">
        <w:rPr>
          <w:rFonts w:ascii="仿宋" w:eastAsia="仿宋" w:hAnsi="仿宋" w:cs="宋体"/>
          <w:kern w:val="0"/>
          <w:szCs w:val="21"/>
        </w:rPr>
        <w:t>https://www.wjasset.com</w:t>
      </w:r>
    </w:p>
    <w:p w:rsidR="00E630A0"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信函邮寄地址：上海市浦东新区浦电路360号陆家嘴投资大厦</w:t>
      </w:r>
      <w:r w:rsidR="00BA6EB4" w:rsidRPr="00714E7D">
        <w:rPr>
          <w:rFonts w:ascii="仿宋" w:eastAsia="仿宋" w:hAnsi="仿宋" w:cs="宋体"/>
          <w:kern w:val="0"/>
          <w:szCs w:val="21"/>
        </w:rPr>
        <w:t>5</w:t>
      </w:r>
      <w:r w:rsidRPr="00714E7D">
        <w:rPr>
          <w:rFonts w:ascii="仿宋" w:eastAsia="仿宋" w:hAnsi="仿宋" w:cs="宋体" w:hint="eastAsia"/>
          <w:kern w:val="0"/>
          <w:szCs w:val="21"/>
        </w:rPr>
        <w:t>层，邮编</w:t>
      </w:r>
      <w:r w:rsidRPr="00714E7D">
        <w:rPr>
          <w:rFonts w:ascii="仿宋" w:eastAsia="仿宋" w:hAnsi="仿宋" w:hint="eastAsia"/>
          <w:szCs w:val="21"/>
        </w:rPr>
        <w:t>200122</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（二）基金投资人也可通过</w:t>
      </w:r>
      <w:r w:rsidR="00000F8C">
        <w:rPr>
          <w:rFonts w:ascii="仿宋" w:eastAsia="仿宋" w:hAnsi="仿宋" w:cs="宋体" w:hint="eastAsia"/>
          <w:kern w:val="0"/>
          <w:szCs w:val="21"/>
        </w:rPr>
        <w:t>电话、</w:t>
      </w:r>
      <w:r w:rsidRPr="00EF1245">
        <w:rPr>
          <w:rFonts w:ascii="仿宋" w:eastAsia="仿宋" w:hAnsi="仿宋" w:cs="宋体" w:hint="eastAsia"/>
          <w:kern w:val="0"/>
          <w:szCs w:val="21"/>
        </w:rPr>
        <w:t>书信、传真、电子邮件等方式，向中国证监会和中国证券业协会投诉。联系方式如下：</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1</w:t>
      </w:r>
      <w:r w:rsidR="006B67F3" w:rsidRPr="001B4CC7">
        <w:rPr>
          <w:rFonts w:ascii="仿宋" w:eastAsia="仿宋" w:hAnsi="仿宋" w:cs="宋体" w:hint="eastAsia"/>
          <w:kern w:val="0"/>
          <w:szCs w:val="21"/>
        </w:rPr>
        <w:t>、</w:t>
      </w:r>
      <w:r w:rsidRPr="001B4CC7">
        <w:rPr>
          <w:rFonts w:ascii="仿宋" w:eastAsia="仿宋" w:hAnsi="仿宋" w:cs="宋体" w:hint="eastAsia"/>
          <w:kern w:val="0"/>
          <w:szCs w:val="21"/>
        </w:rPr>
        <w:t>中国证监会热线</w:t>
      </w:r>
      <w:r w:rsidRPr="001B4CC7">
        <w:rPr>
          <w:rFonts w:ascii="宋体" w:hAnsi="宋体" w:cs="宋体" w:hint="eastAsia"/>
          <w:kern w:val="0"/>
          <w:szCs w:val="21"/>
        </w:rPr>
        <w:t> </w:t>
      </w:r>
      <w:r w:rsidRPr="001B4CC7">
        <w:rPr>
          <w:rFonts w:ascii="仿宋" w:eastAsia="仿宋" w:hAnsi="仿宋" w:cs="宋体" w:hint="eastAsia"/>
          <w:kern w:val="0"/>
          <w:szCs w:val="21"/>
        </w:rPr>
        <w:t>12386</w:t>
      </w:r>
    </w:p>
    <w:p w:rsid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承接事项：“12386”中国证监会热线受理证券期货市场投资者投诉、咨询、建议等，具体包括：(一)投资者在购买产品、接受服务或投资活动中，与证券期货市场经营主体及其从业人员发生争议的，可以提起投诉；(二)对证券期货监管工作或者政策提出建议和意见；(三)对证券期货相关法律制度或者监管工作政策等提出咨询。</w:t>
      </w:r>
    </w:p>
    <w:p w:rsid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 xml:space="preserve">使用方法：投资者可以在每周一至周五(法定节假日除外)的上午9:00-11:30，下午13：00-16:30期间拨打热线电话“010-12386”。“12386”中国证监会热线同时承接中国证监会网站(www.csrc.gov.cn)“我要留言”、“给主席写信”栏目以及投资者保护基金公司网站(www.sipf.com.cn)“投资者呼叫”栏目的投资者咨询、建议及投诉事项。 </w:t>
      </w:r>
    </w:p>
    <w:p w:rsidR="00E42E72" w:rsidRPr="001B4CC7"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1B4CC7">
        <w:rPr>
          <w:rFonts w:ascii="仿宋" w:eastAsia="仿宋" w:hAnsi="仿宋" w:hint="eastAsia"/>
          <w:sz w:val="21"/>
          <w:szCs w:val="21"/>
        </w:rPr>
        <w:t>2</w:t>
      </w:r>
      <w:r w:rsidR="006B67F3" w:rsidRPr="001B4CC7">
        <w:rPr>
          <w:rFonts w:ascii="仿宋" w:eastAsia="仿宋" w:hAnsi="仿宋" w:hint="eastAsia"/>
          <w:sz w:val="21"/>
          <w:szCs w:val="21"/>
        </w:rPr>
        <w:t>、</w:t>
      </w:r>
      <w:r w:rsidRPr="001B4CC7">
        <w:rPr>
          <w:rFonts w:ascii="仿宋" w:eastAsia="仿宋" w:hAnsi="仿宋" w:hint="eastAsia"/>
          <w:sz w:val="21"/>
          <w:szCs w:val="21"/>
        </w:rPr>
        <w:t>中国证监会信访电话</w:t>
      </w:r>
      <w:r w:rsidRPr="00EF1245">
        <w:rPr>
          <w:rFonts w:ascii="Calibri" w:eastAsia="仿宋" w:hAnsi="Calibri" w:cs="Calibri"/>
          <w:sz w:val="21"/>
          <w:szCs w:val="21"/>
        </w:rPr>
        <w:t>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投资者对下列组织、人员的职务行为反映情况，提出建议、意见，或者不服下列组织、人员的职务行为，可以提出信访事项。</w:t>
      </w:r>
      <w:r>
        <w:rPr>
          <w:rFonts w:ascii="仿宋" w:eastAsia="仿宋" w:hAnsi="仿宋" w:hint="eastAsia"/>
          <w:sz w:val="21"/>
          <w:szCs w:val="21"/>
        </w:rPr>
        <w:t xml:space="preserve"> </w:t>
      </w:r>
    </w:p>
    <w:p w:rsidR="00EF1245" w:rsidRPr="00EF1245" w:rsidRDefault="00A434B3" w:rsidP="00FB5754">
      <w:pPr>
        <w:pStyle w:val="ab"/>
        <w:shd w:val="clear" w:color="auto" w:fill="FFFFFF"/>
        <w:spacing w:before="0" w:beforeAutospacing="0" w:after="0" w:afterAutospacing="0"/>
        <w:ind w:firstLineChars="200" w:firstLine="420"/>
        <w:rPr>
          <w:rFonts w:ascii="仿宋" w:eastAsia="仿宋" w:hAnsi="仿宋"/>
          <w:sz w:val="21"/>
          <w:szCs w:val="21"/>
        </w:rPr>
      </w:pPr>
      <w:r>
        <w:rPr>
          <w:rFonts w:ascii="仿宋" w:eastAsia="仿宋" w:hAnsi="仿宋" w:hint="eastAsia"/>
          <w:sz w:val="21"/>
          <w:szCs w:val="21"/>
        </w:rPr>
        <w:t>（一）中国证监</w:t>
      </w:r>
      <w:r w:rsidR="00EF1245" w:rsidRPr="00EF1245">
        <w:rPr>
          <w:rFonts w:ascii="仿宋" w:eastAsia="仿宋" w:hAnsi="仿宋" w:hint="eastAsia"/>
          <w:sz w:val="21"/>
          <w:szCs w:val="21"/>
        </w:rPr>
        <w:t>会机关及其工作人员；</w:t>
      </w:r>
      <w:r w:rsidR="00EF1245">
        <w:rPr>
          <w:rFonts w:ascii="仿宋" w:eastAsia="仿宋" w:hAnsi="仿宋" w:hint="eastAsia"/>
          <w:sz w:val="21"/>
          <w:szCs w:val="21"/>
        </w:rPr>
        <w:t xml:space="preserve">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（二）中国证监会派出机构及其工作人员；</w:t>
      </w:r>
      <w:r>
        <w:rPr>
          <w:rFonts w:ascii="仿宋" w:eastAsia="仿宋" w:hAnsi="仿宋" w:hint="eastAsia"/>
          <w:sz w:val="21"/>
          <w:szCs w:val="21"/>
        </w:rPr>
        <w:t xml:space="preserve">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（三）证券期货监管系统内具有管理公共事务职能的组织或者提供公共服务的企业、事业单位及其工作人员。</w:t>
      </w:r>
      <w:r>
        <w:rPr>
          <w:rFonts w:ascii="仿宋" w:eastAsia="仿宋" w:hAnsi="仿宋" w:hint="eastAsia"/>
          <w:sz w:val="21"/>
          <w:szCs w:val="21"/>
        </w:rPr>
        <w:t xml:space="preserve">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信访电话：010-66210166、</w:t>
      </w:r>
      <w:r>
        <w:rPr>
          <w:rFonts w:ascii="仿宋" w:eastAsia="仿宋" w:hAnsi="仿宋" w:hint="eastAsia"/>
          <w:sz w:val="21"/>
          <w:szCs w:val="21"/>
        </w:rPr>
        <w:t xml:space="preserve">66210182 </w:t>
      </w:r>
    </w:p>
    <w:p w:rsid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通信地址：北京市西城区金融大街19号中国证监会信访办公室 邮编：100033</w:t>
      </w:r>
    </w:p>
    <w:p w:rsidR="00E42E72" w:rsidRPr="001B4CC7"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B9312E">
        <w:rPr>
          <w:rFonts w:ascii="仿宋" w:eastAsia="仿宋" w:hAnsi="仿宋" w:hint="eastAsia"/>
          <w:sz w:val="21"/>
          <w:szCs w:val="21"/>
        </w:rPr>
        <w:t>3</w:t>
      </w:r>
      <w:r w:rsidR="006B67F3" w:rsidRPr="00B9312E">
        <w:rPr>
          <w:rFonts w:ascii="仿宋" w:eastAsia="仿宋" w:hAnsi="仿宋" w:hint="eastAsia"/>
          <w:sz w:val="21"/>
          <w:szCs w:val="21"/>
        </w:rPr>
        <w:t>、</w:t>
      </w:r>
      <w:r w:rsidR="00FB5754" w:rsidRPr="00B9312E">
        <w:rPr>
          <w:rFonts w:ascii="仿宋" w:eastAsia="仿宋" w:hAnsi="仿宋" w:hint="eastAsia"/>
          <w:sz w:val="21"/>
          <w:szCs w:val="21"/>
        </w:rPr>
        <w:t>反映证券期货违</w:t>
      </w:r>
      <w:r w:rsidR="00FB5754" w:rsidRPr="00FB5754">
        <w:rPr>
          <w:rFonts w:ascii="仿宋" w:eastAsia="仿宋" w:hAnsi="仿宋" w:hint="eastAsia"/>
          <w:sz w:val="21"/>
          <w:szCs w:val="21"/>
        </w:rPr>
        <w:t>法违规行为，要求证券期货监督管理机构稽查部门予以立案调查 。</w:t>
      </w:r>
      <w:r w:rsidRPr="00EF1245">
        <w:rPr>
          <w:rFonts w:ascii="Calibri" w:eastAsia="仿宋" w:hAnsi="Calibri" w:cs="Calibri"/>
          <w:sz w:val="21"/>
          <w:szCs w:val="21"/>
        </w:rPr>
        <w:t> </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反映违反证券期货法律和行政法规的行为，并提供具体事实、线索或证据的，可以向中国证监会稽查局证券期货违法违规行为举报中心或各证监局提出。</w:t>
      </w:r>
      <w:r>
        <w:rPr>
          <w:rFonts w:ascii="仿宋" w:eastAsia="仿宋" w:hAnsi="仿宋" w:hint="eastAsia"/>
          <w:sz w:val="21"/>
          <w:szCs w:val="21"/>
        </w:rPr>
        <w:t xml:space="preserve"> </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中国证监会稽查局证券期货违法违规行为举报中心网上举报：中国证监会官方网站举报专栏。</w:t>
      </w:r>
      <w:r>
        <w:rPr>
          <w:rFonts w:ascii="仿宋" w:eastAsia="仿宋" w:hAnsi="仿宋" w:hint="eastAsia"/>
          <w:sz w:val="21"/>
          <w:szCs w:val="21"/>
        </w:rPr>
        <w:t xml:space="preserve"> </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举报信箱：北京市西城区金融大街19号富凯大厦A座，邮编100033 。</w:t>
      </w:r>
      <w:r>
        <w:rPr>
          <w:rFonts w:ascii="仿宋" w:eastAsia="仿宋" w:hAnsi="仿宋" w:hint="eastAsia"/>
          <w:sz w:val="21"/>
          <w:szCs w:val="21"/>
        </w:rPr>
        <w:t xml:space="preserve"> </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举报电话：010-88060055、88060027、88060082。</w:t>
      </w:r>
    </w:p>
    <w:p w:rsidR="00E42E72" w:rsidRPr="001B4CC7"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1B4CC7">
        <w:rPr>
          <w:rFonts w:ascii="仿宋" w:eastAsia="仿宋" w:hAnsi="仿宋" w:hint="eastAsia"/>
          <w:sz w:val="21"/>
          <w:szCs w:val="21"/>
        </w:rPr>
        <w:t>4</w:t>
      </w:r>
      <w:r w:rsidR="006B67F3" w:rsidRPr="001B4CC7">
        <w:rPr>
          <w:rFonts w:ascii="仿宋" w:eastAsia="仿宋" w:hAnsi="仿宋" w:hint="eastAsia"/>
          <w:sz w:val="21"/>
          <w:szCs w:val="21"/>
        </w:rPr>
        <w:t>、</w:t>
      </w:r>
      <w:r w:rsidRPr="001B4CC7">
        <w:rPr>
          <w:rFonts w:ascii="仿宋" w:eastAsia="仿宋" w:hAnsi="仿宋" w:hint="eastAsia"/>
          <w:sz w:val="21"/>
          <w:szCs w:val="21"/>
        </w:rPr>
        <w:t>中国证监会派出机构投诉电话</w:t>
      </w:r>
      <w:r w:rsidR="00000F8C">
        <w:rPr>
          <w:rFonts w:ascii="仿宋" w:eastAsia="仿宋" w:hAnsi="仿宋" w:hint="eastAsia"/>
          <w:sz w:val="21"/>
          <w:szCs w:val="21"/>
        </w:rPr>
        <w:t>网址</w:t>
      </w:r>
    </w:p>
    <w:p w:rsidR="00FB5754" w:rsidRPr="00FB5754" w:rsidRDefault="006605DD" w:rsidP="00FB5754">
      <w:pPr>
        <w:pStyle w:val="ab"/>
        <w:shd w:val="clear" w:color="auto" w:fill="FFFFFF"/>
        <w:spacing w:before="0" w:beforeAutospacing="0" w:after="0" w:afterAutospacing="0"/>
        <w:ind w:firstLineChars="200" w:firstLine="480"/>
        <w:rPr>
          <w:rFonts w:ascii="仿宋" w:eastAsia="仿宋" w:hAnsi="仿宋"/>
          <w:sz w:val="21"/>
          <w:szCs w:val="21"/>
        </w:rPr>
      </w:pPr>
      <w:hyperlink r:id="rId9" w:history="1">
        <w:r w:rsidR="00FB5754" w:rsidRPr="00FB5754">
          <w:rPr>
            <w:rFonts w:ascii="仿宋" w:eastAsia="仿宋" w:hAnsi="仿宋"/>
            <w:sz w:val="21"/>
            <w:szCs w:val="21"/>
          </w:rPr>
          <w:t>http://tzz.sac.net.cn/wqbh/wqqdxx/201512/t20151210_126736.html</w:t>
        </w:r>
      </w:hyperlink>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5、中国证券投资基金业协会：</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网址：http://www.amac.org.cn/，</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lastRenderedPageBreak/>
        <w:t>电子邮箱tousu@amac.org.cn，</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地址：北京市西城区金融大街20号交通银行大厦B座9层，邮编100033（请标明“法律部”收）。</w:t>
      </w:r>
    </w:p>
    <w:p w:rsidR="00FB5754" w:rsidRPr="00FB5754"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6</w:t>
      </w:r>
      <w:r w:rsidR="006B67F3" w:rsidRPr="00FB5754">
        <w:rPr>
          <w:rFonts w:ascii="仿宋" w:eastAsia="仿宋" w:hAnsi="仿宋" w:hint="eastAsia"/>
          <w:sz w:val="21"/>
          <w:szCs w:val="21"/>
        </w:rPr>
        <w:t>、</w:t>
      </w:r>
      <w:r w:rsidR="00FB5754" w:rsidRPr="00FB5754">
        <w:rPr>
          <w:rFonts w:ascii="仿宋" w:eastAsia="仿宋" w:hAnsi="仿宋" w:hint="eastAsia"/>
          <w:sz w:val="21"/>
          <w:szCs w:val="21"/>
        </w:rPr>
        <w:t>中国证券业协会：</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网址：www.sac.net.cn，</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 xml:space="preserve">电子邮箱 </w:t>
      </w:r>
      <w:hyperlink r:id="rId10" w:history="1">
        <w:r w:rsidRPr="00157E0A">
          <w:rPr>
            <w:rFonts w:ascii="仿宋" w:eastAsia="仿宋" w:hAnsi="仿宋"/>
            <w:sz w:val="21"/>
            <w:szCs w:val="21"/>
          </w:rPr>
          <w:t>huizhang@sac.net.cn</w:t>
        </w:r>
      </w:hyperlink>
      <w:r w:rsidRPr="00FB5754">
        <w:rPr>
          <w:rFonts w:ascii="仿宋" w:eastAsia="仿宋" w:hAnsi="仿宋" w:hint="eastAsia"/>
          <w:sz w:val="21"/>
          <w:szCs w:val="21"/>
        </w:rPr>
        <w:t>，</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地址：北京金融街富凯大厦B座二层，</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邮编：100140。</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传真：010-66575896，</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电话：010-58352888（中国证券投资者呼叫中心）。</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7、中国证券投资者保护基金有限责任公司</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w:t>
      </w:r>
      <w:r>
        <w:rPr>
          <w:rFonts w:ascii="仿宋" w:eastAsia="仿宋" w:hAnsi="仿宋" w:hint="eastAsia"/>
          <w:sz w:val="21"/>
          <w:szCs w:val="21"/>
        </w:rPr>
        <w:t>http://www.sipf.com.cn</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地址：北京西城区金融大街5号新盛大厦B座22层</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邮编：</w:t>
      </w:r>
      <w:r>
        <w:rPr>
          <w:rFonts w:ascii="仿宋" w:eastAsia="仿宋" w:hAnsi="仿宋" w:hint="eastAsia"/>
          <w:sz w:val="21"/>
          <w:szCs w:val="21"/>
        </w:rPr>
        <w:t>100033</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联系电话：010-66580883</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三）因基金合同而产生的或与基金合同有关的一切争议，如经协商或调解不能解决的，基金投资人可提交中国国际经济贸易仲裁委员会根据当时有效的仲裁规则进行仲裁。仲裁地点为基金合同约定的地点。仲裁裁决是终局的，对各方当事人均有约束力。基金合同对争议处理另有约定的，从其约定。</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 xml:space="preserve"> 投资人在投资基金前应认真阅读《基金合同》、《招募说明书》</w:t>
      </w:r>
      <w:r w:rsidR="00D242AC">
        <w:rPr>
          <w:rFonts w:ascii="仿宋" w:eastAsia="仿宋" w:hAnsi="仿宋" w:hint="eastAsia"/>
          <w:sz w:val="21"/>
          <w:szCs w:val="21"/>
        </w:rPr>
        <w:t>、产品资料概要</w:t>
      </w:r>
      <w:r w:rsidR="00B472A8">
        <w:rPr>
          <w:rFonts w:ascii="仿宋" w:eastAsia="仿宋" w:hAnsi="仿宋" w:hint="eastAsia"/>
          <w:sz w:val="21"/>
          <w:szCs w:val="21"/>
        </w:rPr>
        <w:t>、公告</w:t>
      </w:r>
      <w:r w:rsidRPr="00FB5754">
        <w:rPr>
          <w:rFonts w:ascii="仿宋" w:eastAsia="仿宋" w:hAnsi="仿宋" w:hint="eastAsia"/>
          <w:sz w:val="21"/>
          <w:szCs w:val="21"/>
        </w:rPr>
        <w:t>等基金信息披露，选择与自身风险承受能力相适应的基金。我公司和基金管理人承诺投资人利益优先，以诚实信用、勤勉尽责的态度为投资人提供服务，但不能保证基金一定盈利，也不能保证基金的最低收益。投资人可登录中国证监会网站（www.csrc.gov.cn）查询基金销售机构名录，核实我公司基金销售资格。</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销售人员姓名及从业证书编号：</w:t>
      </w:r>
    </w:p>
    <w:p w:rsidR="00E42E72"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sz w:val="21"/>
          <w:szCs w:val="21"/>
        </w:rPr>
        <w:t>https://gs.amac.org.cn/amac-infodisc/res/pof/person/personList.html?userId=1700000000699019查看到我公司获得从业人员资质的人员名单</w:t>
      </w:r>
      <w:r w:rsidR="00E42E72" w:rsidRPr="00FB5754">
        <w:rPr>
          <w:rFonts w:ascii="仿宋" w:eastAsia="仿宋" w:hAnsi="仿宋" w:hint="eastAsia"/>
          <w:sz w:val="21"/>
          <w:szCs w:val="21"/>
        </w:rPr>
        <w:t xml:space="preserve"> </w:t>
      </w:r>
    </w:p>
    <w:p w:rsidR="003E6F22" w:rsidRDefault="003E6F2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3E6F22">
        <w:rPr>
          <w:rFonts w:ascii="仿宋" w:eastAsia="仿宋" w:hAnsi="仿宋" w:hint="eastAsia"/>
          <w:sz w:val="21"/>
          <w:szCs w:val="21"/>
        </w:rPr>
        <w:t>（四）我公司联系方式</w:t>
      </w:r>
    </w:p>
    <w:p w:rsidR="00E42E72" w:rsidRPr="00FB5754"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基金销售机构名称：万家基金管理有限公司</w:t>
      </w:r>
    </w:p>
    <w:p w:rsidR="00E42E72" w:rsidRPr="00FB5754" w:rsidRDefault="00880B4B"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负责人：</w:t>
      </w:r>
      <w:r w:rsidR="00D242AC">
        <w:rPr>
          <w:rFonts w:ascii="仿宋" w:eastAsia="仿宋" w:hAnsi="仿宋" w:hint="eastAsia"/>
          <w:sz w:val="21"/>
          <w:szCs w:val="21"/>
        </w:rPr>
        <w:t>方一天</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w:t>
      </w:r>
      <w:r>
        <w:rPr>
          <w:rFonts w:ascii="仿宋" w:eastAsia="仿宋" w:hAnsi="仿宋" w:hint="eastAsia"/>
          <w:sz w:val="21"/>
          <w:szCs w:val="21"/>
        </w:rPr>
        <w:t xml:space="preserve"> www.wjasset.com</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客户服务电话：400-888-0800(免长话费)</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客户服务传真：</w:t>
      </w:r>
      <w:r>
        <w:rPr>
          <w:rFonts w:ascii="仿宋" w:eastAsia="仿宋" w:hAnsi="仿宋" w:hint="eastAsia"/>
          <w:sz w:val="21"/>
          <w:szCs w:val="21"/>
        </w:rPr>
        <w:t>021-38909798</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地址：上海市浦东新区浦电路360号陆家嘴投资大厦</w:t>
      </w:r>
      <w:r w:rsidR="00BA6EB4">
        <w:rPr>
          <w:rFonts w:ascii="仿宋" w:eastAsia="仿宋" w:hAnsi="仿宋"/>
          <w:sz w:val="21"/>
          <w:szCs w:val="21"/>
        </w:rPr>
        <w:t>5</w:t>
      </w:r>
      <w:r w:rsidRPr="00FB5754">
        <w:rPr>
          <w:rFonts w:ascii="仿宋" w:eastAsia="仿宋" w:hAnsi="仿宋" w:hint="eastAsia"/>
          <w:sz w:val="21"/>
          <w:szCs w:val="21"/>
        </w:rPr>
        <w:t>层</w:t>
      </w:r>
    </w:p>
    <w:p w:rsidR="006D34AA"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邮编：200122</w:t>
      </w:r>
    </w:p>
    <w:p w:rsidR="003E6F22" w:rsidRDefault="003E6F22" w:rsidP="00FB5754">
      <w:pPr>
        <w:pStyle w:val="ab"/>
        <w:shd w:val="clear" w:color="auto" w:fill="FFFFFF"/>
        <w:spacing w:before="0" w:beforeAutospacing="0" w:after="0" w:afterAutospacing="0"/>
        <w:ind w:firstLineChars="200" w:firstLine="420"/>
        <w:rPr>
          <w:rFonts w:ascii="仿宋" w:eastAsia="仿宋" w:hAnsi="仿宋"/>
          <w:sz w:val="21"/>
          <w:szCs w:val="21"/>
        </w:rPr>
      </w:pPr>
    </w:p>
    <w:p w:rsidR="003E6F22" w:rsidRPr="00FB5754" w:rsidRDefault="003E6F2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036322">
        <w:rPr>
          <w:rFonts w:ascii="仿宋" w:eastAsia="仿宋" w:hAnsi="仿宋" w:hint="eastAsia"/>
          <w:sz w:val="21"/>
          <w:szCs w:val="21"/>
        </w:rPr>
        <w:t>本《须知》有关内容将根据法律法规及监管机构或行业协会的要求或我公司业务情况的变化不时修订，相关修订以我公司更新为准。</w:t>
      </w:r>
    </w:p>
    <w:sectPr w:rsidR="003E6F22" w:rsidRPr="00FB5754" w:rsidSect="00AF52C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5DD" w:rsidRDefault="006605DD" w:rsidP="005E7DF2">
      <w:r>
        <w:separator/>
      </w:r>
    </w:p>
  </w:endnote>
  <w:endnote w:type="continuationSeparator" w:id="0">
    <w:p w:rsidR="006605DD" w:rsidRDefault="006605DD"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5DF" w:rsidRDefault="00AF05D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080594"/>
      <w:docPartObj>
        <w:docPartGallery w:val="Page Numbers (Bottom of Page)"/>
        <w:docPartUnique/>
      </w:docPartObj>
    </w:sdtPr>
    <w:sdtEndPr/>
    <w:sdtContent>
      <w:p w:rsidR="007728DA" w:rsidRDefault="007728DA">
        <w:pPr>
          <w:pStyle w:val="a4"/>
          <w:jc w:val="center"/>
        </w:pPr>
        <w:r>
          <w:fldChar w:fldCharType="begin"/>
        </w:r>
        <w:r>
          <w:instrText>PAGE   \* MERGEFORMAT</w:instrText>
        </w:r>
        <w:r>
          <w:fldChar w:fldCharType="separate"/>
        </w:r>
        <w:r w:rsidR="00077FFC" w:rsidRPr="00077FFC">
          <w:rPr>
            <w:noProof/>
            <w:lang w:val="zh-CN"/>
          </w:rPr>
          <w:t>2</w:t>
        </w:r>
        <w:r>
          <w:fldChar w:fldCharType="end"/>
        </w:r>
      </w:p>
    </w:sdtContent>
  </w:sdt>
  <w:p w:rsidR="007728DA" w:rsidRDefault="007728D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5DF" w:rsidRDefault="00AF05D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5DD" w:rsidRDefault="006605DD" w:rsidP="005E7DF2">
      <w:r>
        <w:separator/>
      </w:r>
    </w:p>
  </w:footnote>
  <w:footnote w:type="continuationSeparator" w:id="0">
    <w:p w:rsidR="006605DD" w:rsidRDefault="006605DD"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5DF" w:rsidRDefault="00AF05D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29A" w:rsidRDefault="006605DD" w:rsidP="00A32E68">
    <w:pPr>
      <w:pStyle w:val="a4"/>
    </w:pPr>
    <w:r>
      <w:rPr>
        <w:rFonts w:ascii="仿宋" w:eastAsia="仿宋" w:hAnsi="仿宋" w:cs="宋体"/>
        <w:bCs/>
        <w:noProof/>
        <w:szCs w:val="21"/>
      </w:rPr>
      <w:pict>
        <v:shapetype id="_x0000_t202" coordsize="21600,21600" o:spt="202" path="m,l,21600r21600,l21600,xe">
          <v:stroke joinstyle="miter"/>
          <v:path gradientshapeok="t" o:connecttype="rect"/>
        </v:shapetype>
        <v:shape id="文本框 2" o:spid="_x0000_s2053" type="#_x0000_t202" style="position:absolute;margin-left:284.6pt;margin-top:0;width:244.45pt;height:25.65pt;z-index:25165824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" filled="f" stroked="f">
          <v:textbox>
            <w:txbxContent>
              <w:p w:rsidR="001B4CC7" w:rsidRPr="00594AA5" w:rsidRDefault="001B4CC7" w:rsidP="001B4CC7">
                <w:pPr>
                  <w:ind w:left="357" w:hanging="357"/>
                  <w:jc w:val="right"/>
                  <w:rPr>
                    <w:rFonts w:ascii="仿宋" w:eastAsia="仿宋" w:hAnsi="仿宋" w:cs="宋体"/>
                    <w:bCs/>
                    <w:szCs w:val="21"/>
                  </w:rPr>
                </w:pPr>
                <w:r>
                  <w:rPr>
                    <w:rFonts w:ascii="仿宋" w:eastAsia="仿宋" w:hAnsi="仿宋" w:cs="宋体" w:hint="eastAsia"/>
                    <w:bCs/>
                    <w:szCs w:val="21"/>
                  </w:rPr>
                  <w:t>表单版本：</w:t>
                </w:r>
                <w:r w:rsidR="004C549B">
                  <w:rPr>
                    <w:rFonts w:ascii="仿宋" w:eastAsia="仿宋" w:hAnsi="仿宋" w:cs="宋体" w:hint="eastAsia"/>
                    <w:bCs/>
                    <w:szCs w:val="21"/>
                  </w:rPr>
                  <w:t>2021年</w:t>
                </w:r>
                <w:r w:rsidR="00CB59B8">
                  <w:rPr>
                    <w:rFonts w:ascii="仿宋" w:eastAsia="仿宋" w:hAnsi="仿宋" w:cs="宋体"/>
                    <w:bCs/>
                    <w:szCs w:val="21"/>
                  </w:rPr>
                  <w:t>1</w:t>
                </w:r>
                <w:r w:rsidR="00AF05DF">
                  <w:rPr>
                    <w:rFonts w:ascii="仿宋" w:eastAsia="仿宋" w:hAnsi="仿宋" w:cs="宋体"/>
                    <w:bCs/>
                    <w:szCs w:val="21"/>
                  </w:rPr>
                  <w:t>2</w:t>
                </w:r>
                <w:r>
                  <w:rPr>
                    <w:rFonts w:ascii="仿宋" w:eastAsia="仿宋" w:hAnsi="仿宋" w:cs="宋体" w:hint="eastAsia"/>
                    <w:bCs/>
                    <w:szCs w:val="21"/>
                  </w:rPr>
                  <w:t>月</w:t>
                </w:r>
              </w:p>
              <w:p w:rsidR="001B4CC7" w:rsidRPr="00A272E5" w:rsidRDefault="001B4CC7" w:rsidP="001B4CC7"/>
            </w:txbxContent>
          </v:textbox>
        </v:shape>
      </w:pict>
    </w:r>
    <w:r w:rsidR="001B4CC7">
      <w:rPr>
        <w:rFonts w:ascii="仿宋" w:eastAsia="仿宋" w:hAnsi="仿宋" w:cs="宋体"/>
        <w:bCs/>
        <w:noProof/>
        <w:szCs w:val="21"/>
      </w:rPr>
      <w:drawing>
        <wp:inline distT="0" distB="0" distL="0" distR="0" wp14:anchorId="5AA06A63" wp14:editId="571E2D4F">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5DF" w:rsidRDefault="00AF05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3"/>
  </w:num>
  <w:num w:numId="4">
    <w:abstractNumId w:val="5"/>
  </w:num>
  <w:num w:numId="5">
    <w:abstractNumId w:val="6"/>
  </w:num>
  <w:num w:numId="6">
    <w:abstractNumId w:val="1"/>
  </w:num>
  <w:num w:numId="7">
    <w:abstractNumId w:val="4"/>
  </w:num>
  <w:num w:numId="8">
    <w:abstractNumId w:val="2"/>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0F8C"/>
    <w:rsid w:val="000014D9"/>
    <w:rsid w:val="00003BB2"/>
    <w:rsid w:val="0000540A"/>
    <w:rsid w:val="000152BF"/>
    <w:rsid w:val="000315B6"/>
    <w:rsid w:val="00036322"/>
    <w:rsid w:val="00067E4B"/>
    <w:rsid w:val="00071A36"/>
    <w:rsid w:val="00077FFC"/>
    <w:rsid w:val="00082796"/>
    <w:rsid w:val="0009444D"/>
    <w:rsid w:val="00097D01"/>
    <w:rsid w:val="000E3B30"/>
    <w:rsid w:val="000F10FA"/>
    <w:rsid w:val="000F478C"/>
    <w:rsid w:val="00112825"/>
    <w:rsid w:val="00157E0A"/>
    <w:rsid w:val="00194CA3"/>
    <w:rsid w:val="00197892"/>
    <w:rsid w:val="001A1E4E"/>
    <w:rsid w:val="001A3CB9"/>
    <w:rsid w:val="001A4BE9"/>
    <w:rsid w:val="001B029A"/>
    <w:rsid w:val="001B4CC7"/>
    <w:rsid w:val="001B7280"/>
    <w:rsid w:val="001C125B"/>
    <w:rsid w:val="001E4E2E"/>
    <w:rsid w:val="001F75D2"/>
    <w:rsid w:val="00203083"/>
    <w:rsid w:val="00217E30"/>
    <w:rsid w:val="00232513"/>
    <w:rsid w:val="002356EF"/>
    <w:rsid w:val="00236C00"/>
    <w:rsid w:val="00255002"/>
    <w:rsid w:val="00294079"/>
    <w:rsid w:val="002D28A7"/>
    <w:rsid w:val="002F4C05"/>
    <w:rsid w:val="0031006C"/>
    <w:rsid w:val="00324CC4"/>
    <w:rsid w:val="00333D68"/>
    <w:rsid w:val="0034657A"/>
    <w:rsid w:val="003603C3"/>
    <w:rsid w:val="003B00CF"/>
    <w:rsid w:val="003B2CFA"/>
    <w:rsid w:val="003B392E"/>
    <w:rsid w:val="003B6FE7"/>
    <w:rsid w:val="003E6F22"/>
    <w:rsid w:val="00421AFD"/>
    <w:rsid w:val="004450FF"/>
    <w:rsid w:val="00451570"/>
    <w:rsid w:val="00477A91"/>
    <w:rsid w:val="00477CC7"/>
    <w:rsid w:val="004905B0"/>
    <w:rsid w:val="004A7B91"/>
    <w:rsid w:val="004B1A8A"/>
    <w:rsid w:val="004C549B"/>
    <w:rsid w:val="00501181"/>
    <w:rsid w:val="005542AE"/>
    <w:rsid w:val="00561476"/>
    <w:rsid w:val="00562855"/>
    <w:rsid w:val="005643FC"/>
    <w:rsid w:val="0057436C"/>
    <w:rsid w:val="00591C7F"/>
    <w:rsid w:val="005B17EA"/>
    <w:rsid w:val="005B2ADB"/>
    <w:rsid w:val="005E7DF2"/>
    <w:rsid w:val="006168CF"/>
    <w:rsid w:val="006270AB"/>
    <w:rsid w:val="00635FF5"/>
    <w:rsid w:val="00646C08"/>
    <w:rsid w:val="006605DD"/>
    <w:rsid w:val="006729CE"/>
    <w:rsid w:val="0068095C"/>
    <w:rsid w:val="006A22D9"/>
    <w:rsid w:val="006A50DF"/>
    <w:rsid w:val="006B4F44"/>
    <w:rsid w:val="006B67F3"/>
    <w:rsid w:val="006B79B4"/>
    <w:rsid w:val="006D34AA"/>
    <w:rsid w:val="006D7609"/>
    <w:rsid w:val="006F445E"/>
    <w:rsid w:val="007141F4"/>
    <w:rsid w:val="00714E7D"/>
    <w:rsid w:val="00745A86"/>
    <w:rsid w:val="007728DA"/>
    <w:rsid w:val="0079302F"/>
    <w:rsid w:val="00793DC4"/>
    <w:rsid w:val="00796021"/>
    <w:rsid w:val="007E244A"/>
    <w:rsid w:val="007E4969"/>
    <w:rsid w:val="00806B40"/>
    <w:rsid w:val="008140F0"/>
    <w:rsid w:val="008236D7"/>
    <w:rsid w:val="00880B4B"/>
    <w:rsid w:val="008821BF"/>
    <w:rsid w:val="008925B0"/>
    <w:rsid w:val="0089522F"/>
    <w:rsid w:val="008B56DB"/>
    <w:rsid w:val="008C2799"/>
    <w:rsid w:val="008E519B"/>
    <w:rsid w:val="008E79E2"/>
    <w:rsid w:val="008F187B"/>
    <w:rsid w:val="009018C7"/>
    <w:rsid w:val="009203E8"/>
    <w:rsid w:val="009249DD"/>
    <w:rsid w:val="009763C9"/>
    <w:rsid w:val="00995BFF"/>
    <w:rsid w:val="009A16B3"/>
    <w:rsid w:val="009B03F0"/>
    <w:rsid w:val="009B2A76"/>
    <w:rsid w:val="009B7330"/>
    <w:rsid w:val="009C3231"/>
    <w:rsid w:val="009C3267"/>
    <w:rsid w:val="009D0107"/>
    <w:rsid w:val="009E7A56"/>
    <w:rsid w:val="009F3CA1"/>
    <w:rsid w:val="00A1192D"/>
    <w:rsid w:val="00A20187"/>
    <w:rsid w:val="00A32E68"/>
    <w:rsid w:val="00A33288"/>
    <w:rsid w:val="00A4174D"/>
    <w:rsid w:val="00A434B3"/>
    <w:rsid w:val="00A51767"/>
    <w:rsid w:val="00A629E5"/>
    <w:rsid w:val="00A67D1A"/>
    <w:rsid w:val="00AA6833"/>
    <w:rsid w:val="00AB1FD1"/>
    <w:rsid w:val="00AB5108"/>
    <w:rsid w:val="00AF05DF"/>
    <w:rsid w:val="00AF52C4"/>
    <w:rsid w:val="00B05DD1"/>
    <w:rsid w:val="00B234DC"/>
    <w:rsid w:val="00B472A8"/>
    <w:rsid w:val="00B51FC9"/>
    <w:rsid w:val="00B840A3"/>
    <w:rsid w:val="00B9312E"/>
    <w:rsid w:val="00BA252C"/>
    <w:rsid w:val="00BA4DFC"/>
    <w:rsid w:val="00BA6EB4"/>
    <w:rsid w:val="00BC07A8"/>
    <w:rsid w:val="00BC0D5B"/>
    <w:rsid w:val="00BC550D"/>
    <w:rsid w:val="00C127B8"/>
    <w:rsid w:val="00C2495E"/>
    <w:rsid w:val="00C30EE2"/>
    <w:rsid w:val="00C3706B"/>
    <w:rsid w:val="00C6019D"/>
    <w:rsid w:val="00C91EF0"/>
    <w:rsid w:val="00CA6BFA"/>
    <w:rsid w:val="00CB59B8"/>
    <w:rsid w:val="00CB64FF"/>
    <w:rsid w:val="00CE0CBE"/>
    <w:rsid w:val="00CE2C77"/>
    <w:rsid w:val="00CE3C33"/>
    <w:rsid w:val="00CE5D8F"/>
    <w:rsid w:val="00CF518D"/>
    <w:rsid w:val="00D23808"/>
    <w:rsid w:val="00D242AC"/>
    <w:rsid w:val="00D5549C"/>
    <w:rsid w:val="00D56422"/>
    <w:rsid w:val="00D63D37"/>
    <w:rsid w:val="00D65BE1"/>
    <w:rsid w:val="00D759C7"/>
    <w:rsid w:val="00D80388"/>
    <w:rsid w:val="00D847FA"/>
    <w:rsid w:val="00DB710F"/>
    <w:rsid w:val="00DF0D90"/>
    <w:rsid w:val="00E00E56"/>
    <w:rsid w:val="00E42E72"/>
    <w:rsid w:val="00E62294"/>
    <w:rsid w:val="00E630A0"/>
    <w:rsid w:val="00EA7AD7"/>
    <w:rsid w:val="00EB0F35"/>
    <w:rsid w:val="00EF1245"/>
    <w:rsid w:val="00F01FD7"/>
    <w:rsid w:val="00F03E4C"/>
    <w:rsid w:val="00F13723"/>
    <w:rsid w:val="00F31942"/>
    <w:rsid w:val="00F32B13"/>
    <w:rsid w:val="00F4700B"/>
    <w:rsid w:val="00F751E5"/>
    <w:rsid w:val="00FB5754"/>
    <w:rsid w:val="00FC2AB0"/>
    <w:rsid w:val="00FD0053"/>
    <w:rsid w:val="00FD0F29"/>
    <w:rsid w:val="00FD360D"/>
    <w:rsid w:val="00FE7AD1"/>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D2ADD7D7-BC83-449F-B8FA-3DA626835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character" w:styleId="a9">
    <w:name w:val="Strong"/>
    <w:basedOn w:val="a0"/>
    <w:uiPriority w:val="22"/>
    <w:qFormat/>
    <w:rsid w:val="0089522F"/>
    <w:rPr>
      <w:b/>
      <w:bCs/>
    </w:rPr>
  </w:style>
  <w:style w:type="character" w:styleId="aa">
    <w:name w:val="Hyperlink"/>
    <w:uiPriority w:val="99"/>
    <w:unhideWhenUsed/>
    <w:rsid w:val="00E42E72"/>
    <w:rPr>
      <w:rFonts w:ascii="宋体" w:eastAsia="宋体" w:hAnsi="宋体" w:hint="eastAsia"/>
      <w:b w:val="0"/>
      <w:bCs w:val="0"/>
      <w:strike w:val="0"/>
      <w:dstrike w:val="0"/>
      <w:color w:val="000000"/>
      <w:sz w:val="18"/>
      <w:szCs w:val="18"/>
      <w:u w:val="none"/>
      <w:effect w:val="none"/>
    </w:rPr>
  </w:style>
  <w:style w:type="paragraph" w:styleId="ab">
    <w:name w:val="Normal (Web)"/>
    <w:basedOn w:val="a"/>
    <w:uiPriority w:val="99"/>
    <w:rsid w:val="00E42E7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30633252">
      <w:bodyDiv w:val="1"/>
      <w:marLeft w:val="0"/>
      <w:marRight w:val="0"/>
      <w:marTop w:val="0"/>
      <w:marBottom w:val="0"/>
      <w:divBdr>
        <w:top w:val="none" w:sz="0" w:space="0" w:color="auto"/>
        <w:left w:val="none" w:sz="0" w:space="0" w:color="auto"/>
        <w:bottom w:val="none" w:sz="0" w:space="0" w:color="auto"/>
        <w:right w:val="none" w:sz="0" w:space="0" w:color="auto"/>
      </w:divBdr>
    </w:div>
    <w:div w:id="397556835">
      <w:bodyDiv w:val="1"/>
      <w:marLeft w:val="0"/>
      <w:marRight w:val="0"/>
      <w:marTop w:val="0"/>
      <w:marBottom w:val="0"/>
      <w:divBdr>
        <w:top w:val="none" w:sz="0" w:space="0" w:color="auto"/>
        <w:left w:val="none" w:sz="0" w:space="0" w:color="auto"/>
        <w:bottom w:val="none" w:sz="0" w:space="0" w:color="auto"/>
        <w:right w:val="none" w:sz="0" w:space="0" w:color="auto"/>
      </w:divBdr>
      <w:divsChild>
        <w:div w:id="559556711">
          <w:marLeft w:val="0"/>
          <w:marRight w:val="0"/>
          <w:marTop w:val="0"/>
          <w:marBottom w:val="0"/>
          <w:divBdr>
            <w:top w:val="none" w:sz="0" w:space="0" w:color="auto"/>
            <w:left w:val="none" w:sz="0" w:space="0" w:color="auto"/>
            <w:bottom w:val="none" w:sz="0" w:space="0" w:color="auto"/>
            <w:right w:val="none" w:sz="0" w:space="0" w:color="auto"/>
          </w:divBdr>
          <w:divsChild>
            <w:div w:id="884096022">
              <w:marLeft w:val="0"/>
              <w:marRight w:val="0"/>
              <w:marTop w:val="0"/>
              <w:marBottom w:val="0"/>
              <w:divBdr>
                <w:top w:val="none" w:sz="0" w:space="0" w:color="auto"/>
                <w:left w:val="none" w:sz="0" w:space="0" w:color="auto"/>
                <w:bottom w:val="none" w:sz="0" w:space="0" w:color="auto"/>
                <w:right w:val="none" w:sz="0" w:space="0" w:color="auto"/>
              </w:divBdr>
              <w:divsChild>
                <w:div w:id="650259637">
                  <w:marLeft w:val="0"/>
                  <w:marRight w:val="0"/>
                  <w:marTop w:val="0"/>
                  <w:marBottom w:val="0"/>
                  <w:divBdr>
                    <w:top w:val="none" w:sz="0" w:space="0" w:color="auto"/>
                    <w:left w:val="none" w:sz="0" w:space="0" w:color="auto"/>
                    <w:bottom w:val="none" w:sz="0" w:space="0" w:color="auto"/>
                    <w:right w:val="none" w:sz="0" w:space="0" w:color="auto"/>
                  </w:divBdr>
                  <w:divsChild>
                    <w:div w:id="1020279826">
                      <w:marLeft w:val="0"/>
                      <w:marRight w:val="0"/>
                      <w:marTop w:val="0"/>
                      <w:marBottom w:val="0"/>
                      <w:divBdr>
                        <w:top w:val="none" w:sz="0" w:space="0" w:color="auto"/>
                        <w:left w:val="none" w:sz="0" w:space="0" w:color="auto"/>
                        <w:bottom w:val="none" w:sz="0" w:space="0" w:color="auto"/>
                        <w:right w:val="none" w:sz="0" w:space="0" w:color="auto"/>
                      </w:divBdr>
                      <w:divsChild>
                        <w:div w:id="348720033">
                          <w:marLeft w:val="0"/>
                          <w:marRight w:val="0"/>
                          <w:marTop w:val="345"/>
                          <w:marBottom w:val="330"/>
                          <w:divBdr>
                            <w:top w:val="none" w:sz="0" w:space="0" w:color="auto"/>
                            <w:left w:val="none" w:sz="0" w:space="0" w:color="auto"/>
                            <w:bottom w:val="none" w:sz="0" w:space="0" w:color="auto"/>
                            <w:right w:val="none" w:sz="0" w:space="0" w:color="auto"/>
                          </w:divBdr>
                          <w:divsChild>
                            <w:div w:id="1570265772">
                              <w:marLeft w:val="0"/>
                              <w:marRight w:val="0"/>
                              <w:marTop w:val="0"/>
                              <w:marBottom w:val="0"/>
                              <w:divBdr>
                                <w:top w:val="none" w:sz="0" w:space="0" w:color="auto"/>
                                <w:left w:val="none" w:sz="0" w:space="0" w:color="auto"/>
                                <w:bottom w:val="none" w:sz="0" w:space="0" w:color="auto"/>
                                <w:right w:val="none" w:sz="0" w:space="0" w:color="auto"/>
                              </w:divBdr>
                              <w:divsChild>
                                <w:div w:id="158036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0700675">
      <w:bodyDiv w:val="1"/>
      <w:marLeft w:val="0"/>
      <w:marRight w:val="0"/>
      <w:marTop w:val="0"/>
      <w:marBottom w:val="0"/>
      <w:divBdr>
        <w:top w:val="none" w:sz="0" w:space="0" w:color="auto"/>
        <w:left w:val="none" w:sz="0" w:space="0" w:color="auto"/>
        <w:bottom w:val="none" w:sz="0" w:space="0" w:color="auto"/>
        <w:right w:val="none" w:sz="0" w:space="0" w:color="auto"/>
      </w:divBdr>
      <w:divsChild>
        <w:div w:id="2062822173">
          <w:marLeft w:val="0"/>
          <w:marRight w:val="0"/>
          <w:marTop w:val="0"/>
          <w:marBottom w:val="0"/>
          <w:divBdr>
            <w:top w:val="none" w:sz="0" w:space="0" w:color="auto"/>
            <w:left w:val="none" w:sz="0" w:space="0" w:color="auto"/>
            <w:bottom w:val="none" w:sz="0" w:space="0" w:color="auto"/>
            <w:right w:val="none" w:sz="0" w:space="0" w:color="auto"/>
          </w:divBdr>
          <w:divsChild>
            <w:div w:id="1951013716">
              <w:marLeft w:val="0"/>
              <w:marRight w:val="0"/>
              <w:marTop w:val="0"/>
              <w:marBottom w:val="0"/>
              <w:divBdr>
                <w:top w:val="none" w:sz="0" w:space="0" w:color="auto"/>
                <w:left w:val="none" w:sz="0" w:space="0" w:color="auto"/>
                <w:bottom w:val="none" w:sz="0" w:space="0" w:color="auto"/>
                <w:right w:val="none" w:sz="0" w:space="0" w:color="auto"/>
              </w:divBdr>
              <w:divsChild>
                <w:div w:id="1206403620">
                  <w:marLeft w:val="0"/>
                  <w:marRight w:val="0"/>
                  <w:marTop w:val="0"/>
                  <w:marBottom w:val="0"/>
                  <w:divBdr>
                    <w:top w:val="none" w:sz="0" w:space="0" w:color="auto"/>
                    <w:left w:val="none" w:sz="0" w:space="0" w:color="auto"/>
                    <w:bottom w:val="none" w:sz="0" w:space="0" w:color="auto"/>
                    <w:right w:val="none" w:sz="0" w:space="0" w:color="auto"/>
                  </w:divBdr>
                  <w:divsChild>
                    <w:div w:id="87041125">
                      <w:marLeft w:val="0"/>
                      <w:marRight w:val="0"/>
                      <w:marTop w:val="0"/>
                      <w:marBottom w:val="0"/>
                      <w:divBdr>
                        <w:top w:val="none" w:sz="0" w:space="0" w:color="auto"/>
                        <w:left w:val="none" w:sz="0" w:space="0" w:color="auto"/>
                        <w:bottom w:val="none" w:sz="0" w:space="0" w:color="auto"/>
                        <w:right w:val="none" w:sz="0" w:space="0" w:color="auto"/>
                      </w:divBdr>
                      <w:divsChild>
                        <w:div w:id="131795298">
                          <w:marLeft w:val="0"/>
                          <w:marRight w:val="0"/>
                          <w:marTop w:val="345"/>
                          <w:marBottom w:val="330"/>
                          <w:divBdr>
                            <w:top w:val="none" w:sz="0" w:space="0" w:color="auto"/>
                            <w:left w:val="none" w:sz="0" w:space="0" w:color="auto"/>
                            <w:bottom w:val="none" w:sz="0" w:space="0" w:color="auto"/>
                            <w:right w:val="none" w:sz="0" w:space="0" w:color="auto"/>
                          </w:divBdr>
                          <w:divsChild>
                            <w:div w:id="948121807">
                              <w:marLeft w:val="0"/>
                              <w:marRight w:val="0"/>
                              <w:marTop w:val="0"/>
                              <w:marBottom w:val="0"/>
                              <w:divBdr>
                                <w:top w:val="none" w:sz="0" w:space="0" w:color="auto"/>
                                <w:left w:val="none" w:sz="0" w:space="0" w:color="auto"/>
                                <w:bottom w:val="none" w:sz="0" w:space="0" w:color="auto"/>
                                <w:right w:val="none" w:sz="0" w:space="0" w:color="auto"/>
                              </w:divBdr>
                              <w:divsChild>
                                <w:div w:id="207651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136660">
      <w:bodyDiv w:val="1"/>
      <w:marLeft w:val="0"/>
      <w:marRight w:val="0"/>
      <w:marTop w:val="0"/>
      <w:marBottom w:val="0"/>
      <w:divBdr>
        <w:top w:val="none" w:sz="0" w:space="0" w:color="auto"/>
        <w:left w:val="none" w:sz="0" w:space="0" w:color="auto"/>
        <w:bottom w:val="none" w:sz="0" w:space="0" w:color="auto"/>
        <w:right w:val="none" w:sz="0" w:space="0" w:color="auto"/>
      </w:divBdr>
      <w:divsChild>
        <w:div w:id="1307660208">
          <w:marLeft w:val="0"/>
          <w:marRight w:val="0"/>
          <w:marTop w:val="0"/>
          <w:marBottom w:val="0"/>
          <w:divBdr>
            <w:top w:val="none" w:sz="0" w:space="0" w:color="auto"/>
            <w:left w:val="none" w:sz="0" w:space="0" w:color="auto"/>
            <w:bottom w:val="none" w:sz="0" w:space="0" w:color="auto"/>
            <w:right w:val="none" w:sz="0" w:space="0" w:color="auto"/>
          </w:divBdr>
          <w:divsChild>
            <w:div w:id="1898012210">
              <w:marLeft w:val="0"/>
              <w:marRight w:val="0"/>
              <w:marTop w:val="0"/>
              <w:marBottom w:val="0"/>
              <w:divBdr>
                <w:top w:val="none" w:sz="0" w:space="0" w:color="auto"/>
                <w:left w:val="none" w:sz="0" w:space="0" w:color="auto"/>
                <w:bottom w:val="none" w:sz="0" w:space="0" w:color="auto"/>
                <w:right w:val="none" w:sz="0" w:space="0" w:color="auto"/>
              </w:divBdr>
              <w:divsChild>
                <w:div w:id="590312082">
                  <w:marLeft w:val="0"/>
                  <w:marRight w:val="0"/>
                  <w:marTop w:val="0"/>
                  <w:marBottom w:val="0"/>
                  <w:divBdr>
                    <w:top w:val="none" w:sz="0" w:space="0" w:color="auto"/>
                    <w:left w:val="none" w:sz="0" w:space="0" w:color="auto"/>
                    <w:bottom w:val="none" w:sz="0" w:space="0" w:color="auto"/>
                    <w:right w:val="none" w:sz="0" w:space="0" w:color="auto"/>
                  </w:divBdr>
                  <w:divsChild>
                    <w:div w:id="338123660">
                      <w:marLeft w:val="0"/>
                      <w:marRight w:val="0"/>
                      <w:marTop w:val="0"/>
                      <w:marBottom w:val="0"/>
                      <w:divBdr>
                        <w:top w:val="none" w:sz="0" w:space="0" w:color="auto"/>
                        <w:left w:val="none" w:sz="0" w:space="0" w:color="auto"/>
                        <w:bottom w:val="none" w:sz="0" w:space="0" w:color="auto"/>
                        <w:right w:val="none" w:sz="0" w:space="0" w:color="auto"/>
                      </w:divBdr>
                      <w:divsChild>
                        <w:div w:id="1807698453">
                          <w:marLeft w:val="0"/>
                          <w:marRight w:val="0"/>
                          <w:marTop w:val="345"/>
                          <w:marBottom w:val="330"/>
                          <w:divBdr>
                            <w:top w:val="none" w:sz="0" w:space="0" w:color="auto"/>
                            <w:left w:val="none" w:sz="0" w:space="0" w:color="auto"/>
                            <w:bottom w:val="none" w:sz="0" w:space="0" w:color="auto"/>
                            <w:right w:val="none" w:sz="0" w:space="0" w:color="auto"/>
                          </w:divBdr>
                          <w:divsChild>
                            <w:div w:id="1056126008">
                              <w:marLeft w:val="0"/>
                              <w:marRight w:val="0"/>
                              <w:marTop w:val="0"/>
                              <w:marBottom w:val="0"/>
                              <w:divBdr>
                                <w:top w:val="none" w:sz="0" w:space="0" w:color="auto"/>
                                <w:left w:val="none" w:sz="0" w:space="0" w:color="auto"/>
                                <w:bottom w:val="none" w:sz="0" w:space="0" w:color="auto"/>
                                <w:right w:val="none" w:sz="0" w:space="0" w:color="auto"/>
                              </w:divBdr>
                              <w:divsChild>
                                <w:div w:id="1337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938381">
      <w:bodyDiv w:val="1"/>
      <w:marLeft w:val="0"/>
      <w:marRight w:val="0"/>
      <w:marTop w:val="0"/>
      <w:marBottom w:val="0"/>
      <w:divBdr>
        <w:top w:val="none" w:sz="0" w:space="0" w:color="auto"/>
        <w:left w:val="none" w:sz="0" w:space="0" w:color="auto"/>
        <w:bottom w:val="none" w:sz="0" w:space="0" w:color="auto"/>
        <w:right w:val="none" w:sz="0" w:space="0" w:color="auto"/>
      </w:divBdr>
      <w:divsChild>
        <w:div w:id="196084747">
          <w:marLeft w:val="0"/>
          <w:marRight w:val="0"/>
          <w:marTop w:val="0"/>
          <w:marBottom w:val="0"/>
          <w:divBdr>
            <w:top w:val="none" w:sz="0" w:space="0" w:color="auto"/>
            <w:left w:val="none" w:sz="0" w:space="0" w:color="auto"/>
            <w:bottom w:val="none" w:sz="0" w:space="0" w:color="auto"/>
            <w:right w:val="none" w:sz="0" w:space="0" w:color="auto"/>
          </w:divBdr>
          <w:divsChild>
            <w:div w:id="1477575454">
              <w:marLeft w:val="0"/>
              <w:marRight w:val="0"/>
              <w:marTop w:val="0"/>
              <w:marBottom w:val="0"/>
              <w:divBdr>
                <w:top w:val="none" w:sz="0" w:space="0" w:color="auto"/>
                <w:left w:val="none" w:sz="0" w:space="0" w:color="auto"/>
                <w:bottom w:val="none" w:sz="0" w:space="0" w:color="auto"/>
                <w:right w:val="none" w:sz="0" w:space="0" w:color="auto"/>
              </w:divBdr>
              <w:divsChild>
                <w:div w:id="2104184102">
                  <w:marLeft w:val="0"/>
                  <w:marRight w:val="0"/>
                  <w:marTop w:val="0"/>
                  <w:marBottom w:val="0"/>
                  <w:divBdr>
                    <w:top w:val="none" w:sz="0" w:space="0" w:color="auto"/>
                    <w:left w:val="none" w:sz="0" w:space="0" w:color="auto"/>
                    <w:bottom w:val="none" w:sz="0" w:space="0" w:color="auto"/>
                    <w:right w:val="none" w:sz="0" w:space="0" w:color="auto"/>
                  </w:divBdr>
                  <w:divsChild>
                    <w:div w:id="2117290359">
                      <w:marLeft w:val="0"/>
                      <w:marRight w:val="0"/>
                      <w:marTop w:val="0"/>
                      <w:marBottom w:val="0"/>
                      <w:divBdr>
                        <w:top w:val="none" w:sz="0" w:space="0" w:color="auto"/>
                        <w:left w:val="none" w:sz="0" w:space="0" w:color="auto"/>
                        <w:bottom w:val="none" w:sz="0" w:space="0" w:color="auto"/>
                        <w:right w:val="none" w:sz="0" w:space="0" w:color="auto"/>
                      </w:divBdr>
                      <w:divsChild>
                        <w:div w:id="1626234643">
                          <w:marLeft w:val="0"/>
                          <w:marRight w:val="0"/>
                          <w:marTop w:val="345"/>
                          <w:marBottom w:val="330"/>
                          <w:divBdr>
                            <w:top w:val="none" w:sz="0" w:space="0" w:color="auto"/>
                            <w:left w:val="none" w:sz="0" w:space="0" w:color="auto"/>
                            <w:bottom w:val="none" w:sz="0" w:space="0" w:color="auto"/>
                            <w:right w:val="none" w:sz="0" w:space="0" w:color="auto"/>
                          </w:divBdr>
                          <w:divsChild>
                            <w:div w:id="965239654">
                              <w:marLeft w:val="0"/>
                              <w:marRight w:val="0"/>
                              <w:marTop w:val="0"/>
                              <w:marBottom w:val="0"/>
                              <w:divBdr>
                                <w:top w:val="none" w:sz="0" w:space="0" w:color="auto"/>
                                <w:left w:val="none" w:sz="0" w:space="0" w:color="auto"/>
                                <w:bottom w:val="none" w:sz="0" w:space="0" w:color="auto"/>
                                <w:right w:val="none" w:sz="0" w:space="0" w:color="auto"/>
                              </w:divBdr>
                              <w:divsChild>
                                <w:div w:id="31872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468339">
      <w:bodyDiv w:val="1"/>
      <w:marLeft w:val="0"/>
      <w:marRight w:val="0"/>
      <w:marTop w:val="0"/>
      <w:marBottom w:val="0"/>
      <w:divBdr>
        <w:top w:val="none" w:sz="0" w:space="0" w:color="auto"/>
        <w:left w:val="none" w:sz="0" w:space="0" w:color="auto"/>
        <w:bottom w:val="none" w:sz="0" w:space="0" w:color="auto"/>
        <w:right w:val="none" w:sz="0" w:space="0" w:color="auto"/>
      </w:divBdr>
      <w:divsChild>
        <w:div w:id="1588997401">
          <w:marLeft w:val="0"/>
          <w:marRight w:val="0"/>
          <w:marTop w:val="0"/>
          <w:marBottom w:val="0"/>
          <w:divBdr>
            <w:top w:val="none" w:sz="0" w:space="0" w:color="auto"/>
            <w:left w:val="none" w:sz="0" w:space="0" w:color="auto"/>
            <w:bottom w:val="none" w:sz="0" w:space="0" w:color="auto"/>
            <w:right w:val="none" w:sz="0" w:space="0" w:color="auto"/>
          </w:divBdr>
          <w:divsChild>
            <w:div w:id="1430348382">
              <w:marLeft w:val="0"/>
              <w:marRight w:val="0"/>
              <w:marTop w:val="0"/>
              <w:marBottom w:val="0"/>
              <w:divBdr>
                <w:top w:val="none" w:sz="0" w:space="0" w:color="auto"/>
                <w:left w:val="none" w:sz="0" w:space="0" w:color="auto"/>
                <w:bottom w:val="none" w:sz="0" w:space="0" w:color="auto"/>
                <w:right w:val="none" w:sz="0" w:space="0" w:color="auto"/>
              </w:divBdr>
              <w:divsChild>
                <w:div w:id="1454060663">
                  <w:marLeft w:val="0"/>
                  <w:marRight w:val="0"/>
                  <w:marTop w:val="0"/>
                  <w:marBottom w:val="0"/>
                  <w:divBdr>
                    <w:top w:val="none" w:sz="0" w:space="0" w:color="auto"/>
                    <w:left w:val="none" w:sz="0" w:space="0" w:color="auto"/>
                    <w:bottom w:val="none" w:sz="0" w:space="0" w:color="auto"/>
                    <w:right w:val="none" w:sz="0" w:space="0" w:color="auto"/>
                  </w:divBdr>
                  <w:divsChild>
                    <w:div w:id="893471024">
                      <w:marLeft w:val="0"/>
                      <w:marRight w:val="0"/>
                      <w:marTop w:val="0"/>
                      <w:marBottom w:val="0"/>
                      <w:divBdr>
                        <w:top w:val="none" w:sz="0" w:space="0" w:color="auto"/>
                        <w:left w:val="none" w:sz="0" w:space="0" w:color="auto"/>
                        <w:bottom w:val="none" w:sz="0" w:space="0" w:color="auto"/>
                        <w:right w:val="none" w:sz="0" w:space="0" w:color="auto"/>
                      </w:divBdr>
                      <w:divsChild>
                        <w:div w:id="2107921358">
                          <w:marLeft w:val="0"/>
                          <w:marRight w:val="0"/>
                          <w:marTop w:val="345"/>
                          <w:marBottom w:val="330"/>
                          <w:divBdr>
                            <w:top w:val="none" w:sz="0" w:space="0" w:color="auto"/>
                            <w:left w:val="none" w:sz="0" w:space="0" w:color="auto"/>
                            <w:bottom w:val="none" w:sz="0" w:space="0" w:color="auto"/>
                            <w:right w:val="none" w:sz="0" w:space="0" w:color="auto"/>
                          </w:divBdr>
                          <w:divsChild>
                            <w:div w:id="1283878639">
                              <w:marLeft w:val="0"/>
                              <w:marRight w:val="0"/>
                              <w:marTop w:val="0"/>
                              <w:marBottom w:val="0"/>
                              <w:divBdr>
                                <w:top w:val="none" w:sz="0" w:space="0" w:color="auto"/>
                                <w:left w:val="none" w:sz="0" w:space="0" w:color="auto"/>
                                <w:bottom w:val="none" w:sz="0" w:space="0" w:color="auto"/>
                                <w:right w:val="none" w:sz="0" w:space="0" w:color="auto"/>
                              </w:divBdr>
                              <w:divsChild>
                                <w:div w:id="4955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20291">
      <w:bodyDiv w:val="1"/>
      <w:marLeft w:val="0"/>
      <w:marRight w:val="0"/>
      <w:marTop w:val="0"/>
      <w:marBottom w:val="0"/>
      <w:divBdr>
        <w:top w:val="none" w:sz="0" w:space="0" w:color="auto"/>
        <w:left w:val="none" w:sz="0" w:space="0" w:color="auto"/>
        <w:bottom w:val="none" w:sz="0" w:space="0" w:color="auto"/>
        <w:right w:val="none" w:sz="0" w:space="0" w:color="auto"/>
      </w:divBdr>
      <w:divsChild>
        <w:div w:id="1465348852">
          <w:marLeft w:val="0"/>
          <w:marRight w:val="0"/>
          <w:marTop w:val="0"/>
          <w:marBottom w:val="0"/>
          <w:divBdr>
            <w:top w:val="none" w:sz="0" w:space="0" w:color="auto"/>
            <w:left w:val="none" w:sz="0" w:space="0" w:color="auto"/>
            <w:bottom w:val="none" w:sz="0" w:space="0" w:color="auto"/>
            <w:right w:val="none" w:sz="0" w:space="0" w:color="auto"/>
          </w:divBdr>
          <w:divsChild>
            <w:div w:id="1006633059">
              <w:marLeft w:val="0"/>
              <w:marRight w:val="0"/>
              <w:marTop w:val="0"/>
              <w:marBottom w:val="0"/>
              <w:divBdr>
                <w:top w:val="none" w:sz="0" w:space="0" w:color="auto"/>
                <w:left w:val="none" w:sz="0" w:space="0" w:color="auto"/>
                <w:bottom w:val="none" w:sz="0" w:space="0" w:color="auto"/>
                <w:right w:val="none" w:sz="0" w:space="0" w:color="auto"/>
              </w:divBdr>
              <w:divsChild>
                <w:div w:id="1057818719">
                  <w:marLeft w:val="0"/>
                  <w:marRight w:val="0"/>
                  <w:marTop w:val="0"/>
                  <w:marBottom w:val="0"/>
                  <w:divBdr>
                    <w:top w:val="none" w:sz="0" w:space="0" w:color="auto"/>
                    <w:left w:val="none" w:sz="0" w:space="0" w:color="auto"/>
                    <w:bottom w:val="none" w:sz="0" w:space="0" w:color="auto"/>
                    <w:right w:val="none" w:sz="0" w:space="0" w:color="auto"/>
                  </w:divBdr>
                  <w:divsChild>
                    <w:div w:id="1844197488">
                      <w:marLeft w:val="0"/>
                      <w:marRight w:val="0"/>
                      <w:marTop w:val="0"/>
                      <w:marBottom w:val="0"/>
                      <w:divBdr>
                        <w:top w:val="none" w:sz="0" w:space="0" w:color="auto"/>
                        <w:left w:val="none" w:sz="0" w:space="0" w:color="auto"/>
                        <w:bottom w:val="none" w:sz="0" w:space="0" w:color="auto"/>
                        <w:right w:val="none" w:sz="0" w:space="0" w:color="auto"/>
                      </w:divBdr>
                      <w:divsChild>
                        <w:div w:id="592663477">
                          <w:marLeft w:val="0"/>
                          <w:marRight w:val="0"/>
                          <w:marTop w:val="345"/>
                          <w:marBottom w:val="330"/>
                          <w:divBdr>
                            <w:top w:val="none" w:sz="0" w:space="0" w:color="auto"/>
                            <w:left w:val="none" w:sz="0" w:space="0" w:color="auto"/>
                            <w:bottom w:val="none" w:sz="0" w:space="0" w:color="auto"/>
                            <w:right w:val="none" w:sz="0" w:space="0" w:color="auto"/>
                          </w:divBdr>
                          <w:divsChild>
                            <w:div w:id="912468839">
                              <w:marLeft w:val="0"/>
                              <w:marRight w:val="0"/>
                              <w:marTop w:val="0"/>
                              <w:marBottom w:val="0"/>
                              <w:divBdr>
                                <w:top w:val="none" w:sz="0" w:space="0" w:color="auto"/>
                                <w:left w:val="none" w:sz="0" w:space="0" w:color="auto"/>
                                <w:bottom w:val="none" w:sz="0" w:space="0" w:color="auto"/>
                                <w:right w:val="none" w:sz="0" w:space="0" w:color="auto"/>
                              </w:divBdr>
                              <w:divsChild>
                                <w:div w:id="58118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830153">
      <w:bodyDiv w:val="1"/>
      <w:marLeft w:val="0"/>
      <w:marRight w:val="0"/>
      <w:marTop w:val="0"/>
      <w:marBottom w:val="0"/>
      <w:divBdr>
        <w:top w:val="none" w:sz="0" w:space="0" w:color="auto"/>
        <w:left w:val="none" w:sz="0" w:space="0" w:color="auto"/>
        <w:bottom w:val="none" w:sz="0" w:space="0" w:color="auto"/>
        <w:right w:val="none" w:sz="0" w:space="0" w:color="auto"/>
      </w:divBdr>
      <w:divsChild>
        <w:div w:id="33508152">
          <w:marLeft w:val="0"/>
          <w:marRight w:val="0"/>
          <w:marTop w:val="0"/>
          <w:marBottom w:val="0"/>
          <w:divBdr>
            <w:top w:val="none" w:sz="0" w:space="0" w:color="auto"/>
            <w:left w:val="none" w:sz="0" w:space="0" w:color="auto"/>
            <w:bottom w:val="none" w:sz="0" w:space="0" w:color="auto"/>
            <w:right w:val="none" w:sz="0" w:space="0" w:color="auto"/>
          </w:divBdr>
          <w:divsChild>
            <w:div w:id="313534136">
              <w:marLeft w:val="0"/>
              <w:marRight w:val="0"/>
              <w:marTop w:val="0"/>
              <w:marBottom w:val="0"/>
              <w:divBdr>
                <w:top w:val="none" w:sz="0" w:space="0" w:color="auto"/>
                <w:left w:val="none" w:sz="0" w:space="0" w:color="auto"/>
                <w:bottom w:val="none" w:sz="0" w:space="0" w:color="auto"/>
                <w:right w:val="none" w:sz="0" w:space="0" w:color="auto"/>
              </w:divBdr>
              <w:divsChild>
                <w:div w:id="1831863890">
                  <w:marLeft w:val="0"/>
                  <w:marRight w:val="0"/>
                  <w:marTop w:val="0"/>
                  <w:marBottom w:val="0"/>
                  <w:divBdr>
                    <w:top w:val="none" w:sz="0" w:space="0" w:color="auto"/>
                    <w:left w:val="none" w:sz="0" w:space="0" w:color="auto"/>
                    <w:bottom w:val="none" w:sz="0" w:space="0" w:color="auto"/>
                    <w:right w:val="none" w:sz="0" w:space="0" w:color="auto"/>
                  </w:divBdr>
                  <w:divsChild>
                    <w:div w:id="595209205">
                      <w:marLeft w:val="0"/>
                      <w:marRight w:val="0"/>
                      <w:marTop w:val="0"/>
                      <w:marBottom w:val="0"/>
                      <w:divBdr>
                        <w:top w:val="none" w:sz="0" w:space="0" w:color="auto"/>
                        <w:left w:val="none" w:sz="0" w:space="0" w:color="auto"/>
                        <w:bottom w:val="none" w:sz="0" w:space="0" w:color="auto"/>
                        <w:right w:val="none" w:sz="0" w:space="0" w:color="auto"/>
                      </w:divBdr>
                      <w:divsChild>
                        <w:div w:id="144587841">
                          <w:marLeft w:val="0"/>
                          <w:marRight w:val="0"/>
                          <w:marTop w:val="345"/>
                          <w:marBottom w:val="330"/>
                          <w:divBdr>
                            <w:top w:val="none" w:sz="0" w:space="0" w:color="auto"/>
                            <w:left w:val="none" w:sz="0" w:space="0" w:color="auto"/>
                            <w:bottom w:val="none" w:sz="0" w:space="0" w:color="auto"/>
                            <w:right w:val="none" w:sz="0" w:space="0" w:color="auto"/>
                          </w:divBdr>
                          <w:divsChild>
                            <w:div w:id="1119688192">
                              <w:marLeft w:val="0"/>
                              <w:marRight w:val="0"/>
                              <w:marTop w:val="0"/>
                              <w:marBottom w:val="0"/>
                              <w:divBdr>
                                <w:top w:val="none" w:sz="0" w:space="0" w:color="auto"/>
                                <w:left w:val="none" w:sz="0" w:space="0" w:color="auto"/>
                                <w:bottom w:val="none" w:sz="0" w:space="0" w:color="auto"/>
                                <w:right w:val="none" w:sz="0" w:space="0" w:color="auto"/>
                              </w:divBdr>
                              <w:divsChild>
                                <w:div w:id="30238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4137997">
      <w:bodyDiv w:val="1"/>
      <w:marLeft w:val="0"/>
      <w:marRight w:val="0"/>
      <w:marTop w:val="0"/>
      <w:marBottom w:val="0"/>
      <w:divBdr>
        <w:top w:val="none" w:sz="0" w:space="0" w:color="auto"/>
        <w:left w:val="none" w:sz="0" w:space="0" w:color="auto"/>
        <w:bottom w:val="none" w:sz="0" w:space="0" w:color="auto"/>
        <w:right w:val="none" w:sz="0" w:space="0" w:color="auto"/>
      </w:divBdr>
      <w:divsChild>
        <w:div w:id="1259018673">
          <w:marLeft w:val="0"/>
          <w:marRight w:val="0"/>
          <w:marTop w:val="0"/>
          <w:marBottom w:val="0"/>
          <w:divBdr>
            <w:top w:val="none" w:sz="0" w:space="0" w:color="auto"/>
            <w:left w:val="none" w:sz="0" w:space="0" w:color="auto"/>
            <w:bottom w:val="none" w:sz="0" w:space="0" w:color="auto"/>
            <w:right w:val="none" w:sz="0" w:space="0" w:color="auto"/>
          </w:divBdr>
          <w:divsChild>
            <w:div w:id="1386418035">
              <w:marLeft w:val="0"/>
              <w:marRight w:val="0"/>
              <w:marTop w:val="0"/>
              <w:marBottom w:val="0"/>
              <w:divBdr>
                <w:top w:val="none" w:sz="0" w:space="0" w:color="auto"/>
                <w:left w:val="none" w:sz="0" w:space="0" w:color="auto"/>
                <w:bottom w:val="none" w:sz="0" w:space="0" w:color="auto"/>
                <w:right w:val="none" w:sz="0" w:space="0" w:color="auto"/>
              </w:divBdr>
              <w:divsChild>
                <w:div w:id="716970061">
                  <w:marLeft w:val="0"/>
                  <w:marRight w:val="0"/>
                  <w:marTop w:val="0"/>
                  <w:marBottom w:val="0"/>
                  <w:divBdr>
                    <w:top w:val="none" w:sz="0" w:space="0" w:color="auto"/>
                    <w:left w:val="none" w:sz="0" w:space="0" w:color="auto"/>
                    <w:bottom w:val="none" w:sz="0" w:space="0" w:color="auto"/>
                    <w:right w:val="none" w:sz="0" w:space="0" w:color="auto"/>
                  </w:divBdr>
                  <w:divsChild>
                    <w:div w:id="116217466">
                      <w:marLeft w:val="0"/>
                      <w:marRight w:val="0"/>
                      <w:marTop w:val="0"/>
                      <w:marBottom w:val="0"/>
                      <w:divBdr>
                        <w:top w:val="none" w:sz="0" w:space="0" w:color="auto"/>
                        <w:left w:val="none" w:sz="0" w:space="0" w:color="auto"/>
                        <w:bottom w:val="none" w:sz="0" w:space="0" w:color="auto"/>
                        <w:right w:val="none" w:sz="0" w:space="0" w:color="auto"/>
                      </w:divBdr>
                      <w:divsChild>
                        <w:div w:id="718282677">
                          <w:marLeft w:val="0"/>
                          <w:marRight w:val="0"/>
                          <w:marTop w:val="345"/>
                          <w:marBottom w:val="330"/>
                          <w:divBdr>
                            <w:top w:val="none" w:sz="0" w:space="0" w:color="auto"/>
                            <w:left w:val="none" w:sz="0" w:space="0" w:color="auto"/>
                            <w:bottom w:val="none" w:sz="0" w:space="0" w:color="auto"/>
                            <w:right w:val="none" w:sz="0" w:space="0" w:color="auto"/>
                          </w:divBdr>
                          <w:divsChild>
                            <w:div w:id="905455176">
                              <w:marLeft w:val="0"/>
                              <w:marRight w:val="0"/>
                              <w:marTop w:val="0"/>
                              <w:marBottom w:val="0"/>
                              <w:divBdr>
                                <w:top w:val="none" w:sz="0" w:space="0" w:color="auto"/>
                                <w:left w:val="none" w:sz="0" w:space="0" w:color="auto"/>
                                <w:bottom w:val="none" w:sz="0" w:space="0" w:color="auto"/>
                                <w:right w:val="none" w:sz="0" w:space="0" w:color="auto"/>
                              </w:divBdr>
                              <w:divsChild>
                                <w:div w:id="5856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451582">
      <w:bodyDiv w:val="1"/>
      <w:marLeft w:val="0"/>
      <w:marRight w:val="0"/>
      <w:marTop w:val="0"/>
      <w:marBottom w:val="0"/>
      <w:divBdr>
        <w:top w:val="none" w:sz="0" w:space="0" w:color="auto"/>
        <w:left w:val="none" w:sz="0" w:space="0" w:color="auto"/>
        <w:bottom w:val="none" w:sz="0" w:space="0" w:color="auto"/>
        <w:right w:val="none" w:sz="0" w:space="0" w:color="auto"/>
      </w:divBdr>
      <w:divsChild>
        <w:div w:id="1156266120">
          <w:marLeft w:val="0"/>
          <w:marRight w:val="0"/>
          <w:marTop w:val="0"/>
          <w:marBottom w:val="0"/>
          <w:divBdr>
            <w:top w:val="none" w:sz="0" w:space="0" w:color="auto"/>
            <w:left w:val="none" w:sz="0" w:space="0" w:color="auto"/>
            <w:bottom w:val="none" w:sz="0" w:space="0" w:color="auto"/>
            <w:right w:val="none" w:sz="0" w:space="0" w:color="auto"/>
          </w:divBdr>
          <w:divsChild>
            <w:div w:id="443383542">
              <w:marLeft w:val="0"/>
              <w:marRight w:val="0"/>
              <w:marTop w:val="0"/>
              <w:marBottom w:val="0"/>
              <w:divBdr>
                <w:top w:val="none" w:sz="0" w:space="0" w:color="auto"/>
                <w:left w:val="none" w:sz="0" w:space="0" w:color="auto"/>
                <w:bottom w:val="none" w:sz="0" w:space="0" w:color="auto"/>
                <w:right w:val="none" w:sz="0" w:space="0" w:color="auto"/>
              </w:divBdr>
              <w:divsChild>
                <w:div w:id="88545296">
                  <w:marLeft w:val="0"/>
                  <w:marRight w:val="0"/>
                  <w:marTop w:val="0"/>
                  <w:marBottom w:val="0"/>
                  <w:divBdr>
                    <w:top w:val="none" w:sz="0" w:space="0" w:color="auto"/>
                    <w:left w:val="none" w:sz="0" w:space="0" w:color="auto"/>
                    <w:bottom w:val="none" w:sz="0" w:space="0" w:color="auto"/>
                    <w:right w:val="none" w:sz="0" w:space="0" w:color="auto"/>
                  </w:divBdr>
                  <w:divsChild>
                    <w:div w:id="933443324">
                      <w:marLeft w:val="0"/>
                      <w:marRight w:val="0"/>
                      <w:marTop w:val="0"/>
                      <w:marBottom w:val="0"/>
                      <w:divBdr>
                        <w:top w:val="none" w:sz="0" w:space="0" w:color="auto"/>
                        <w:left w:val="none" w:sz="0" w:space="0" w:color="auto"/>
                        <w:bottom w:val="none" w:sz="0" w:space="0" w:color="auto"/>
                        <w:right w:val="none" w:sz="0" w:space="0" w:color="auto"/>
                      </w:divBdr>
                      <w:divsChild>
                        <w:div w:id="1068040360">
                          <w:marLeft w:val="0"/>
                          <w:marRight w:val="0"/>
                          <w:marTop w:val="345"/>
                          <w:marBottom w:val="330"/>
                          <w:divBdr>
                            <w:top w:val="none" w:sz="0" w:space="0" w:color="auto"/>
                            <w:left w:val="none" w:sz="0" w:space="0" w:color="auto"/>
                            <w:bottom w:val="none" w:sz="0" w:space="0" w:color="auto"/>
                            <w:right w:val="none" w:sz="0" w:space="0" w:color="auto"/>
                          </w:divBdr>
                          <w:divsChild>
                            <w:div w:id="1005520835">
                              <w:marLeft w:val="0"/>
                              <w:marRight w:val="0"/>
                              <w:marTop w:val="0"/>
                              <w:marBottom w:val="0"/>
                              <w:divBdr>
                                <w:top w:val="none" w:sz="0" w:space="0" w:color="auto"/>
                                <w:left w:val="none" w:sz="0" w:space="0" w:color="auto"/>
                                <w:bottom w:val="none" w:sz="0" w:space="0" w:color="auto"/>
                                <w:right w:val="none" w:sz="0" w:space="0" w:color="auto"/>
                              </w:divBdr>
                              <w:divsChild>
                                <w:div w:id="10923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650766">
      <w:bodyDiv w:val="1"/>
      <w:marLeft w:val="0"/>
      <w:marRight w:val="0"/>
      <w:marTop w:val="0"/>
      <w:marBottom w:val="0"/>
      <w:divBdr>
        <w:top w:val="none" w:sz="0" w:space="0" w:color="auto"/>
        <w:left w:val="none" w:sz="0" w:space="0" w:color="auto"/>
        <w:bottom w:val="none" w:sz="0" w:space="0" w:color="auto"/>
        <w:right w:val="none" w:sz="0" w:space="0" w:color="auto"/>
      </w:divBdr>
      <w:divsChild>
        <w:div w:id="798449870">
          <w:marLeft w:val="0"/>
          <w:marRight w:val="0"/>
          <w:marTop w:val="0"/>
          <w:marBottom w:val="0"/>
          <w:divBdr>
            <w:top w:val="none" w:sz="0" w:space="0" w:color="auto"/>
            <w:left w:val="none" w:sz="0" w:space="0" w:color="auto"/>
            <w:bottom w:val="none" w:sz="0" w:space="0" w:color="auto"/>
            <w:right w:val="none" w:sz="0" w:space="0" w:color="auto"/>
          </w:divBdr>
          <w:divsChild>
            <w:div w:id="2146384117">
              <w:marLeft w:val="0"/>
              <w:marRight w:val="0"/>
              <w:marTop w:val="0"/>
              <w:marBottom w:val="0"/>
              <w:divBdr>
                <w:top w:val="none" w:sz="0" w:space="0" w:color="auto"/>
                <w:left w:val="none" w:sz="0" w:space="0" w:color="auto"/>
                <w:bottom w:val="none" w:sz="0" w:space="0" w:color="auto"/>
                <w:right w:val="none" w:sz="0" w:space="0" w:color="auto"/>
              </w:divBdr>
              <w:divsChild>
                <w:div w:id="1740011725">
                  <w:marLeft w:val="0"/>
                  <w:marRight w:val="0"/>
                  <w:marTop w:val="0"/>
                  <w:marBottom w:val="0"/>
                  <w:divBdr>
                    <w:top w:val="none" w:sz="0" w:space="0" w:color="auto"/>
                    <w:left w:val="none" w:sz="0" w:space="0" w:color="auto"/>
                    <w:bottom w:val="none" w:sz="0" w:space="0" w:color="auto"/>
                    <w:right w:val="none" w:sz="0" w:space="0" w:color="auto"/>
                  </w:divBdr>
                  <w:divsChild>
                    <w:div w:id="1295254934">
                      <w:marLeft w:val="0"/>
                      <w:marRight w:val="0"/>
                      <w:marTop w:val="0"/>
                      <w:marBottom w:val="0"/>
                      <w:divBdr>
                        <w:top w:val="none" w:sz="0" w:space="0" w:color="auto"/>
                        <w:left w:val="none" w:sz="0" w:space="0" w:color="auto"/>
                        <w:bottom w:val="none" w:sz="0" w:space="0" w:color="auto"/>
                        <w:right w:val="none" w:sz="0" w:space="0" w:color="auto"/>
                      </w:divBdr>
                      <w:divsChild>
                        <w:div w:id="1625382106">
                          <w:marLeft w:val="0"/>
                          <w:marRight w:val="0"/>
                          <w:marTop w:val="345"/>
                          <w:marBottom w:val="330"/>
                          <w:divBdr>
                            <w:top w:val="none" w:sz="0" w:space="0" w:color="auto"/>
                            <w:left w:val="none" w:sz="0" w:space="0" w:color="auto"/>
                            <w:bottom w:val="none" w:sz="0" w:space="0" w:color="auto"/>
                            <w:right w:val="none" w:sz="0" w:space="0" w:color="auto"/>
                          </w:divBdr>
                          <w:divsChild>
                            <w:div w:id="893739624">
                              <w:marLeft w:val="0"/>
                              <w:marRight w:val="0"/>
                              <w:marTop w:val="0"/>
                              <w:marBottom w:val="0"/>
                              <w:divBdr>
                                <w:top w:val="none" w:sz="0" w:space="0" w:color="auto"/>
                                <w:left w:val="none" w:sz="0" w:space="0" w:color="auto"/>
                                <w:bottom w:val="none" w:sz="0" w:space="0" w:color="auto"/>
                                <w:right w:val="none" w:sz="0" w:space="0" w:color="auto"/>
                              </w:divBdr>
                              <w:divsChild>
                                <w:div w:id="61244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999294">
      <w:bodyDiv w:val="1"/>
      <w:marLeft w:val="0"/>
      <w:marRight w:val="0"/>
      <w:marTop w:val="0"/>
      <w:marBottom w:val="0"/>
      <w:divBdr>
        <w:top w:val="none" w:sz="0" w:space="0" w:color="auto"/>
        <w:left w:val="none" w:sz="0" w:space="0" w:color="auto"/>
        <w:bottom w:val="none" w:sz="0" w:space="0" w:color="auto"/>
        <w:right w:val="none" w:sz="0" w:space="0" w:color="auto"/>
      </w:divBdr>
      <w:divsChild>
        <w:div w:id="521208180">
          <w:marLeft w:val="0"/>
          <w:marRight w:val="0"/>
          <w:marTop w:val="0"/>
          <w:marBottom w:val="0"/>
          <w:divBdr>
            <w:top w:val="none" w:sz="0" w:space="0" w:color="auto"/>
            <w:left w:val="none" w:sz="0" w:space="0" w:color="auto"/>
            <w:bottom w:val="none" w:sz="0" w:space="0" w:color="auto"/>
            <w:right w:val="none" w:sz="0" w:space="0" w:color="auto"/>
          </w:divBdr>
          <w:divsChild>
            <w:div w:id="79714825">
              <w:marLeft w:val="0"/>
              <w:marRight w:val="0"/>
              <w:marTop w:val="0"/>
              <w:marBottom w:val="0"/>
              <w:divBdr>
                <w:top w:val="none" w:sz="0" w:space="0" w:color="auto"/>
                <w:left w:val="none" w:sz="0" w:space="0" w:color="auto"/>
                <w:bottom w:val="none" w:sz="0" w:space="0" w:color="auto"/>
                <w:right w:val="none" w:sz="0" w:space="0" w:color="auto"/>
              </w:divBdr>
              <w:divsChild>
                <w:div w:id="321465764">
                  <w:marLeft w:val="0"/>
                  <w:marRight w:val="0"/>
                  <w:marTop w:val="0"/>
                  <w:marBottom w:val="0"/>
                  <w:divBdr>
                    <w:top w:val="none" w:sz="0" w:space="0" w:color="auto"/>
                    <w:left w:val="none" w:sz="0" w:space="0" w:color="auto"/>
                    <w:bottom w:val="none" w:sz="0" w:space="0" w:color="auto"/>
                    <w:right w:val="none" w:sz="0" w:space="0" w:color="auto"/>
                  </w:divBdr>
                  <w:divsChild>
                    <w:div w:id="1693729187">
                      <w:marLeft w:val="0"/>
                      <w:marRight w:val="0"/>
                      <w:marTop w:val="0"/>
                      <w:marBottom w:val="0"/>
                      <w:divBdr>
                        <w:top w:val="none" w:sz="0" w:space="0" w:color="auto"/>
                        <w:left w:val="none" w:sz="0" w:space="0" w:color="auto"/>
                        <w:bottom w:val="none" w:sz="0" w:space="0" w:color="auto"/>
                        <w:right w:val="none" w:sz="0" w:space="0" w:color="auto"/>
                      </w:divBdr>
                      <w:divsChild>
                        <w:div w:id="1689283958">
                          <w:marLeft w:val="0"/>
                          <w:marRight w:val="0"/>
                          <w:marTop w:val="345"/>
                          <w:marBottom w:val="330"/>
                          <w:divBdr>
                            <w:top w:val="none" w:sz="0" w:space="0" w:color="auto"/>
                            <w:left w:val="none" w:sz="0" w:space="0" w:color="auto"/>
                            <w:bottom w:val="none" w:sz="0" w:space="0" w:color="auto"/>
                            <w:right w:val="none" w:sz="0" w:space="0" w:color="auto"/>
                          </w:divBdr>
                          <w:divsChild>
                            <w:div w:id="100608973">
                              <w:marLeft w:val="0"/>
                              <w:marRight w:val="0"/>
                              <w:marTop w:val="0"/>
                              <w:marBottom w:val="0"/>
                              <w:divBdr>
                                <w:top w:val="none" w:sz="0" w:space="0" w:color="auto"/>
                                <w:left w:val="none" w:sz="0" w:space="0" w:color="auto"/>
                                <w:bottom w:val="none" w:sz="0" w:space="0" w:color="auto"/>
                                <w:right w:val="none" w:sz="0" w:space="0" w:color="auto"/>
                              </w:divBdr>
                              <w:divsChild>
                                <w:div w:id="86907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7426138">
      <w:bodyDiv w:val="1"/>
      <w:marLeft w:val="0"/>
      <w:marRight w:val="0"/>
      <w:marTop w:val="0"/>
      <w:marBottom w:val="0"/>
      <w:divBdr>
        <w:top w:val="none" w:sz="0" w:space="0" w:color="auto"/>
        <w:left w:val="none" w:sz="0" w:space="0" w:color="auto"/>
        <w:bottom w:val="none" w:sz="0" w:space="0" w:color="auto"/>
        <w:right w:val="none" w:sz="0" w:space="0" w:color="auto"/>
      </w:divBdr>
      <w:divsChild>
        <w:div w:id="587075868">
          <w:marLeft w:val="0"/>
          <w:marRight w:val="0"/>
          <w:marTop w:val="0"/>
          <w:marBottom w:val="0"/>
          <w:divBdr>
            <w:top w:val="none" w:sz="0" w:space="0" w:color="auto"/>
            <w:left w:val="none" w:sz="0" w:space="0" w:color="auto"/>
            <w:bottom w:val="none" w:sz="0" w:space="0" w:color="auto"/>
            <w:right w:val="none" w:sz="0" w:space="0" w:color="auto"/>
          </w:divBdr>
          <w:divsChild>
            <w:div w:id="1967851992">
              <w:marLeft w:val="0"/>
              <w:marRight w:val="0"/>
              <w:marTop w:val="0"/>
              <w:marBottom w:val="0"/>
              <w:divBdr>
                <w:top w:val="none" w:sz="0" w:space="0" w:color="auto"/>
                <w:left w:val="none" w:sz="0" w:space="0" w:color="auto"/>
                <w:bottom w:val="none" w:sz="0" w:space="0" w:color="auto"/>
                <w:right w:val="none" w:sz="0" w:space="0" w:color="auto"/>
              </w:divBdr>
              <w:divsChild>
                <w:div w:id="1957635258">
                  <w:marLeft w:val="0"/>
                  <w:marRight w:val="0"/>
                  <w:marTop w:val="0"/>
                  <w:marBottom w:val="0"/>
                  <w:divBdr>
                    <w:top w:val="none" w:sz="0" w:space="0" w:color="auto"/>
                    <w:left w:val="none" w:sz="0" w:space="0" w:color="auto"/>
                    <w:bottom w:val="none" w:sz="0" w:space="0" w:color="auto"/>
                    <w:right w:val="none" w:sz="0" w:space="0" w:color="auto"/>
                  </w:divBdr>
                  <w:divsChild>
                    <w:div w:id="709064525">
                      <w:marLeft w:val="0"/>
                      <w:marRight w:val="0"/>
                      <w:marTop w:val="0"/>
                      <w:marBottom w:val="0"/>
                      <w:divBdr>
                        <w:top w:val="none" w:sz="0" w:space="0" w:color="auto"/>
                        <w:left w:val="none" w:sz="0" w:space="0" w:color="auto"/>
                        <w:bottom w:val="none" w:sz="0" w:space="0" w:color="auto"/>
                        <w:right w:val="none" w:sz="0" w:space="0" w:color="auto"/>
                      </w:divBdr>
                      <w:divsChild>
                        <w:div w:id="32506431">
                          <w:marLeft w:val="0"/>
                          <w:marRight w:val="0"/>
                          <w:marTop w:val="345"/>
                          <w:marBottom w:val="330"/>
                          <w:divBdr>
                            <w:top w:val="none" w:sz="0" w:space="0" w:color="auto"/>
                            <w:left w:val="none" w:sz="0" w:space="0" w:color="auto"/>
                            <w:bottom w:val="none" w:sz="0" w:space="0" w:color="auto"/>
                            <w:right w:val="none" w:sz="0" w:space="0" w:color="auto"/>
                          </w:divBdr>
                          <w:divsChild>
                            <w:div w:id="370761975">
                              <w:marLeft w:val="0"/>
                              <w:marRight w:val="0"/>
                              <w:marTop w:val="0"/>
                              <w:marBottom w:val="0"/>
                              <w:divBdr>
                                <w:top w:val="none" w:sz="0" w:space="0" w:color="auto"/>
                                <w:left w:val="none" w:sz="0" w:space="0" w:color="auto"/>
                                <w:bottom w:val="none" w:sz="0" w:space="0" w:color="auto"/>
                                <w:right w:val="none" w:sz="0" w:space="0" w:color="auto"/>
                              </w:divBdr>
                              <w:divsChild>
                                <w:div w:id="91593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385945">
      <w:bodyDiv w:val="1"/>
      <w:marLeft w:val="0"/>
      <w:marRight w:val="0"/>
      <w:marTop w:val="0"/>
      <w:marBottom w:val="0"/>
      <w:divBdr>
        <w:top w:val="none" w:sz="0" w:space="0" w:color="auto"/>
        <w:left w:val="none" w:sz="0" w:space="0" w:color="auto"/>
        <w:bottom w:val="none" w:sz="0" w:space="0" w:color="auto"/>
        <w:right w:val="none" w:sz="0" w:space="0" w:color="auto"/>
      </w:divBdr>
      <w:divsChild>
        <w:div w:id="638807464">
          <w:marLeft w:val="0"/>
          <w:marRight w:val="0"/>
          <w:marTop w:val="0"/>
          <w:marBottom w:val="0"/>
          <w:divBdr>
            <w:top w:val="none" w:sz="0" w:space="0" w:color="auto"/>
            <w:left w:val="none" w:sz="0" w:space="0" w:color="auto"/>
            <w:bottom w:val="none" w:sz="0" w:space="0" w:color="auto"/>
            <w:right w:val="none" w:sz="0" w:space="0" w:color="auto"/>
          </w:divBdr>
          <w:divsChild>
            <w:div w:id="512695008">
              <w:marLeft w:val="0"/>
              <w:marRight w:val="0"/>
              <w:marTop w:val="0"/>
              <w:marBottom w:val="0"/>
              <w:divBdr>
                <w:top w:val="none" w:sz="0" w:space="0" w:color="auto"/>
                <w:left w:val="none" w:sz="0" w:space="0" w:color="auto"/>
                <w:bottom w:val="none" w:sz="0" w:space="0" w:color="auto"/>
                <w:right w:val="none" w:sz="0" w:space="0" w:color="auto"/>
              </w:divBdr>
              <w:divsChild>
                <w:div w:id="939069302">
                  <w:marLeft w:val="0"/>
                  <w:marRight w:val="0"/>
                  <w:marTop w:val="0"/>
                  <w:marBottom w:val="0"/>
                  <w:divBdr>
                    <w:top w:val="none" w:sz="0" w:space="0" w:color="auto"/>
                    <w:left w:val="none" w:sz="0" w:space="0" w:color="auto"/>
                    <w:bottom w:val="none" w:sz="0" w:space="0" w:color="auto"/>
                    <w:right w:val="none" w:sz="0" w:space="0" w:color="auto"/>
                  </w:divBdr>
                  <w:divsChild>
                    <w:div w:id="1095902706">
                      <w:marLeft w:val="0"/>
                      <w:marRight w:val="0"/>
                      <w:marTop w:val="0"/>
                      <w:marBottom w:val="0"/>
                      <w:divBdr>
                        <w:top w:val="none" w:sz="0" w:space="0" w:color="auto"/>
                        <w:left w:val="none" w:sz="0" w:space="0" w:color="auto"/>
                        <w:bottom w:val="none" w:sz="0" w:space="0" w:color="auto"/>
                        <w:right w:val="none" w:sz="0" w:space="0" w:color="auto"/>
                      </w:divBdr>
                      <w:divsChild>
                        <w:div w:id="1556820380">
                          <w:marLeft w:val="0"/>
                          <w:marRight w:val="0"/>
                          <w:marTop w:val="345"/>
                          <w:marBottom w:val="330"/>
                          <w:divBdr>
                            <w:top w:val="none" w:sz="0" w:space="0" w:color="auto"/>
                            <w:left w:val="none" w:sz="0" w:space="0" w:color="auto"/>
                            <w:bottom w:val="none" w:sz="0" w:space="0" w:color="auto"/>
                            <w:right w:val="none" w:sz="0" w:space="0" w:color="auto"/>
                          </w:divBdr>
                          <w:divsChild>
                            <w:div w:id="795179990">
                              <w:marLeft w:val="0"/>
                              <w:marRight w:val="0"/>
                              <w:marTop w:val="0"/>
                              <w:marBottom w:val="0"/>
                              <w:divBdr>
                                <w:top w:val="none" w:sz="0" w:space="0" w:color="auto"/>
                                <w:left w:val="none" w:sz="0" w:space="0" w:color="auto"/>
                                <w:bottom w:val="none" w:sz="0" w:space="0" w:color="auto"/>
                                <w:right w:val="none" w:sz="0" w:space="0" w:color="auto"/>
                              </w:divBdr>
                              <w:divsChild>
                                <w:div w:id="133006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jasset.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huizhang@sac.net.cn" TargetMode="External"/><Relationship Id="rId4" Type="http://schemas.openxmlformats.org/officeDocument/2006/relationships/settings" Target="settings.xml"/><Relationship Id="rId9" Type="http://schemas.openxmlformats.org/officeDocument/2006/relationships/hyperlink" Target="http://tzz.sac.net.cn/wqbh/wqqdxx/201512/t20151210_126736.htm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86941-9ED3-4376-ABFB-1EE5A5A8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950</Words>
  <Characters>5420</Characters>
  <Application>Microsoft Office Word</Application>
  <DocSecurity>0</DocSecurity>
  <Lines>45</Lines>
  <Paragraphs>12</Paragraphs>
  <ScaleCrop>false</ScaleCrop>
  <Company>www.dadighost.com</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71</cp:revision>
  <dcterms:created xsi:type="dcterms:W3CDTF">2017-07-01T06:20:00Z</dcterms:created>
  <dcterms:modified xsi:type="dcterms:W3CDTF">2021-12-14T06:17:00Z</dcterms:modified>
</cp:coreProperties>
</file>